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Australia</w:t>
      </w:r>
      <w:r>
        <w:t xml:space="preserve"> </w:t>
      </w:r>
      <w:r>
        <w:t xml:space="preserve">Melbourne</w:t>
      </w:r>
    </w:p>
    <w:bookmarkStart w:id="34" w:name="Xd17e77f2701d1c6aadb8446156d6a876c848198"/>
    <w:p>
      <w:pPr>
        <w:pStyle w:val="Heading1"/>
      </w:pPr>
      <w:r>
        <w:t xml:space="preserve">Experiment Protocol: Translator Interpreter in Australia Melbourne</w:t>
      </w:r>
    </w:p>
    <w:p>
      <w:pPr>
        <w:pStyle w:val="FirstParagraph"/>
      </w:pPr>
      <w:r>
        <w:rPr>
          <w:bCs/>
          <w:b/>
        </w:rPr>
        <w:t xml:space="preserve">Document ID:</w:t>
      </w:r>
      <w:r>
        <w:t xml:space="preserve"> </w:t>
      </w:r>
      <w:r>
        <w:t xml:space="preserve">TP-MEL-2024-001</w:t>
      </w:r>
      <w:r>
        <w:br/>
      </w:r>
      <w:r>
        <w:rPr>
          <w:bCs/>
          <w:b/>
        </w:rPr>
        <w:t xml:space="preserve">Date:</w:t>
      </w:r>
      <w:r>
        <w:t xml:space="preserve"> </w:t>
      </w:r>
      <w:r>
        <w:t xml:space="preserve">October 26, 2024</w:t>
      </w:r>
      <w:r>
        <w:br/>
      </w:r>
      <w:r>
        <w:rPr>
          <w:bCs/>
          <w:b/>
        </w:rPr>
        <w:t xml:space="preserve">Location:</w:t>
      </w:r>
      <w:r>
        <w:t xml:space="preserve"> </w:t>
      </w:r>
      <w:r>
        <w:t xml:space="preserve">Australia Melbourne</w:t>
      </w:r>
      <w:r>
        <w:br/>
      </w:r>
      <w:r>
        <w:rPr>
          <w:bCs/>
          <w:b/>
        </w:rPr>
        <w:t xml:space="preserve">Subject:</w:t>
      </w:r>
      <w:r>
        <w:t xml:space="preserve"> </w:t>
      </w:r>
      <w:r>
        <w:t xml:space="preserve">Translator Interpreter Performance Evaluation</w:t>
      </w:r>
      <w:r>
        <w:br/>
      </w: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accuracy, and cultural appropriateness of Translator Interpreter services within the diverse linguistic landscape of Australia Melbourne. Melbourne is recognized as one of the most multicultural cities in the world, with a significant proportion of residents speaking languages other than English at home. This linguistic diversity necessitates high-quality translation and interpretation services across healthcare, legal, education, and community sectors.</w:t>
      </w:r>
    </w:p>
    <w:p>
      <w:pPr>
        <w:pStyle w:val="BodyText"/>
      </w:pPr>
      <w:r>
        <w:t xml:space="preserve">The primary objective of this experiment is to assess the effectiveness of both human and AI-assisted Translator Interpreter solutions in real-world scenarios specific to Australia Melbourne. The protocol ensures that all evaluations are conducted ethically, systematically, and in compliance with Australian standards for language services.</w:t>
      </w:r>
    </w:p>
    <w:bookmarkEnd w:id="20"/>
    <w:bookmarkStart w:id="21" w:name="objectives"/>
    <w:p>
      <w:pPr>
        <w:pStyle w:val="Heading2"/>
      </w:pPr>
      <w:r>
        <w:t xml:space="preserve">2. Objectives</w:t>
      </w:r>
    </w:p>
    <w:p>
      <w:pPr>
        <w:pStyle w:val="FirstParagraph"/>
      </w:pPr>
      <w:r>
        <w:t xml:space="preserve">The key objectives of this Experiment Protocol are:</w:t>
      </w:r>
    </w:p>
    <w:p>
      <w:pPr>
        <w:numPr>
          <w:ilvl w:val="0"/>
          <w:numId w:val="1001"/>
        </w:numPr>
        <w:pStyle w:val="Compact"/>
      </w:pPr>
      <w:r>
        <w:t xml:space="preserve">To measure the accuracy of translations and interpretations across multiple languages commonly spoken in Australia Melbourne, including Mandarin, Arabic, Vietnamese, Cantonese, and Italian.</w:t>
      </w:r>
    </w:p>
    <w:p>
      <w:pPr>
        <w:numPr>
          <w:ilvl w:val="0"/>
          <w:numId w:val="1001"/>
        </w:numPr>
        <w:pStyle w:val="Compact"/>
      </w:pPr>
      <w:r>
        <w:t xml:space="preserve">To evaluate the cultural sensitivity and contextual appropriateness of Translator Interpreter outputs in Melbourne-specific settings.</w:t>
      </w:r>
    </w:p>
    <w:p>
      <w:pPr>
        <w:numPr>
          <w:ilvl w:val="0"/>
          <w:numId w:val="1001"/>
        </w:numPr>
        <w:pStyle w:val="Compact"/>
      </w:pPr>
      <w:r>
        <w:t xml:space="preserve">To compare the performance of human interpreters versus AI-driven Translator Interpreter tools in high-stakes environments such as medical consultations and legal proceedings.</w:t>
      </w:r>
    </w:p>
    <w:p>
      <w:pPr>
        <w:numPr>
          <w:ilvl w:val="0"/>
          <w:numId w:val="1001"/>
        </w:numPr>
        <w:pStyle w:val="Compact"/>
      </w:pPr>
      <w:r>
        <w:t xml:space="preserve">To identify areas for improvement in current Translator Interpreter practices and technologies used in Australia Melbourne.</w:t>
      </w:r>
    </w:p>
    <w:bookmarkEnd w:id="21"/>
    <w:bookmarkStart w:id="22" w:name="scope"/>
    <w:p>
      <w:pPr>
        <w:pStyle w:val="Heading2"/>
      </w:pPr>
      <w:r>
        <w:t xml:space="preserve">3. Scope</w:t>
      </w:r>
    </w:p>
    <w:p>
      <w:pPr>
        <w:pStyle w:val="FirstParagraph"/>
      </w:pPr>
      <w:r>
        <w:t xml:space="preserve">This experiment will focus on Translator Interpreter services operating within Australia Melbourne. The scope includes:</w:t>
      </w:r>
    </w:p>
    <w:p>
      <w:pPr>
        <w:numPr>
          <w:ilvl w:val="0"/>
          <w:numId w:val="1002"/>
        </w:numPr>
        <w:pStyle w:val="Compact"/>
      </w:pPr>
      <w:r>
        <w:t xml:space="preserve">Healthcare settings: Hospitals, clinics, and community health centers.</w:t>
      </w:r>
    </w:p>
    <w:p>
      <w:pPr>
        <w:numPr>
          <w:ilvl w:val="0"/>
          <w:numId w:val="1002"/>
        </w:numPr>
        <w:pStyle w:val="Compact"/>
      </w:pPr>
      <w:r>
        <w:t xml:space="preserve">Legal settings: Courts, police stations, and legal aid offices.</w:t>
      </w:r>
    </w:p>
    <w:p>
      <w:pPr>
        <w:numPr>
          <w:ilvl w:val="0"/>
          <w:numId w:val="1002"/>
        </w:numPr>
        <w:pStyle w:val="Compact"/>
      </w:pPr>
      <w:r>
        <w:t xml:space="preserve">Education settings: Schools and universities.</w:t>
      </w:r>
    </w:p>
    <w:p>
      <w:pPr>
        <w:numPr>
          <w:ilvl w:val="0"/>
          <w:numId w:val="1002"/>
        </w:numPr>
        <w:pStyle w:val="Compact"/>
      </w:pPr>
      <w:r>
        <w:t xml:space="preserve">Community services: Government agencies and non-profit organizations.</w:t>
      </w:r>
    </w:p>
    <w:p>
      <w:pPr>
        <w:pStyle w:val="FirstParagraph"/>
      </w:pPr>
      <w:r>
        <w:t xml:space="preserve">The experiment will involve both synchronous (real-time) and asynchronous (document-based) translation and interpretation tasks.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include:</w:t>
      </w:r>
    </w:p>
    <w:p>
      <w:pPr>
        <w:numPr>
          <w:ilvl w:val="0"/>
          <w:numId w:val="1003"/>
        </w:numPr>
        <w:pStyle w:val="Compact"/>
      </w:pPr>
      <w:r>
        <w:t xml:space="preserve">Certified human interpreters registered with the National Accreditation Authority for Translators and Interpreters (NAATI).</w:t>
      </w:r>
    </w:p>
    <w:p>
      <w:pPr>
        <w:numPr>
          <w:ilvl w:val="0"/>
          <w:numId w:val="1003"/>
        </w:numPr>
        <w:pStyle w:val="Compact"/>
      </w:pPr>
      <w:r>
        <w:t xml:space="preserve">AI-based Translator Interpreter systems currently deployed in Australia Melbourne.</w:t>
      </w:r>
    </w:p>
    <w:p>
      <w:pPr>
        <w:numPr>
          <w:ilvl w:val="0"/>
          <w:numId w:val="1003"/>
        </w:numPr>
        <w:pStyle w:val="Compact"/>
      </w:pPr>
      <w:r>
        <w:t xml:space="preserve">Service users from linguistically diverse backgrounds residing in Australia Melbourne.</w:t>
      </w:r>
    </w:p>
    <w:p>
      <w:pPr>
        <w:numPr>
          <w:ilvl w:val="0"/>
          <w:numId w:val="1003"/>
        </w:numPr>
        <w:pStyle w:val="Compact"/>
      </w:pPr>
      <w:r>
        <w:t xml:space="preserve">Service providers (e.g., doctors, lawyers, teachers) who regularly use Translator Interpreter services.</w:t>
      </w:r>
    </w:p>
    <w:bookmarkEnd w:id="23"/>
    <w:bookmarkStart w:id="24" w:name="data-collection"/>
    <w:p>
      <w:pPr>
        <w:pStyle w:val="Heading3"/>
      </w:pPr>
      <w:r>
        <w:t xml:space="preserve">4.2. Data Collection</w:t>
      </w:r>
    </w:p>
    <w:p>
      <w:pPr>
        <w:pStyle w:val="FirstParagraph"/>
      </w:pPr>
      <w:r>
        <w:t xml:space="preserve">Data will be collected through:</w:t>
      </w:r>
    </w:p>
    <w:p>
      <w:pPr>
        <w:numPr>
          <w:ilvl w:val="0"/>
          <w:numId w:val="1004"/>
        </w:numPr>
        <w:pStyle w:val="Compact"/>
      </w:pPr>
      <w:r>
        <w:t xml:space="preserve">Controlled simulations of real-world scenarios in Australia Melbourne.</w:t>
      </w:r>
    </w:p>
    <w:p>
      <w:pPr>
        <w:numPr>
          <w:ilvl w:val="0"/>
          <w:numId w:val="1004"/>
        </w:numPr>
        <w:pStyle w:val="Compact"/>
      </w:pPr>
      <w:r>
        <w:t xml:space="preserve">Surveys and interviews with service users and providers.</w:t>
      </w:r>
    </w:p>
    <w:p>
      <w:pPr>
        <w:numPr>
          <w:ilvl w:val="0"/>
          <w:numId w:val="1004"/>
        </w:numPr>
        <w:pStyle w:val="Compact"/>
      </w:pPr>
      <w:r>
        <w:t xml:space="preserve">Analysis of translated documents and recorded interpretations.</w:t>
      </w:r>
    </w:p>
    <w:p>
      <w:pPr>
        <w:numPr>
          <w:ilvl w:val="0"/>
          <w:numId w:val="1004"/>
        </w:numPr>
        <w:pStyle w:val="Compact"/>
      </w:pPr>
      <w:r>
        <w:t xml:space="preserve">Observation of Translator Interpreter interactions in natural settings.</w:t>
      </w:r>
    </w:p>
    <w:bookmarkEnd w:id="24"/>
    <w:bookmarkStart w:id="25" w:name="evaluation-criteria"/>
    <w:p>
      <w:pPr>
        <w:pStyle w:val="Heading3"/>
      </w:pPr>
      <w:r>
        <w:t xml:space="preserve">4.3. Evaluation Criteria</w:t>
      </w:r>
    </w:p>
    <w:p>
      <w:pPr>
        <w:pStyle w:val="FirstParagraph"/>
      </w:pPr>
      <w:r>
        <w:t xml:space="preserve">The performance of Translator Interpreter services will be evaluated based on:</w:t>
      </w:r>
    </w:p>
    <w:p>
      <w:pPr>
        <w:numPr>
          <w:ilvl w:val="0"/>
          <w:numId w:val="1005"/>
        </w:numPr>
        <w:pStyle w:val="Compact"/>
      </w:pPr>
      <w:r>
        <w:rPr>
          <w:bCs/>
          <w:b/>
        </w:rPr>
        <w:t xml:space="preserve">Accuracy:</w:t>
      </w:r>
      <w:r>
        <w:t xml:space="preserve"> </w:t>
      </w:r>
      <w:r>
        <w:t xml:space="preserve">Correctness of translation and interpretation.</w:t>
      </w:r>
    </w:p>
    <w:p>
      <w:pPr>
        <w:numPr>
          <w:ilvl w:val="0"/>
          <w:numId w:val="1005"/>
        </w:numPr>
        <w:pStyle w:val="Compact"/>
      </w:pPr>
      <w:r>
        <w:rPr>
          <w:bCs/>
          <w:b/>
        </w:rPr>
        <w:t xml:space="preserve">Completeness:</w:t>
      </w:r>
      <w:r>
        <w:t xml:space="preserve"> </w:t>
      </w:r>
      <w:r>
        <w:t xml:space="preserve">Inclusion of all relevant information.</w:t>
      </w:r>
    </w:p>
    <w:p>
      <w:pPr>
        <w:numPr>
          <w:ilvl w:val="0"/>
          <w:numId w:val="1005"/>
        </w:numPr>
        <w:pStyle w:val="Compact"/>
      </w:pPr>
      <w:r>
        <w:rPr>
          <w:bCs/>
          <w:b/>
        </w:rPr>
        <w:t xml:space="preserve">Cultural Appropriateness:</w:t>
      </w:r>
      <w:r>
        <w:t xml:space="preserve"> </w:t>
      </w:r>
      <w:r>
        <w:t xml:space="preserve">Sensitivity to cultural norms and practices in Australia Melbourne.</w:t>
      </w:r>
    </w:p>
    <w:p>
      <w:pPr>
        <w:numPr>
          <w:ilvl w:val="0"/>
          <w:numId w:val="1005"/>
        </w:numPr>
        <w:pStyle w:val="Compact"/>
      </w:pPr>
      <w:r>
        <w:rPr>
          <w:bCs/>
          <w:b/>
        </w:rPr>
        <w:t xml:space="preserve">Timeliness:</w:t>
      </w:r>
      <w:r>
        <w:t xml:space="preserve"> </w:t>
      </w:r>
      <w:r>
        <w:t xml:space="preserve">Speed of delivery in real-time and document-based tasks.</w:t>
      </w:r>
    </w:p>
    <w:p>
      <w:pPr>
        <w:numPr>
          <w:ilvl w:val="0"/>
          <w:numId w:val="1005"/>
        </w:numPr>
        <w:pStyle w:val="Compact"/>
      </w:pPr>
      <w:r>
        <w:rPr>
          <w:bCs/>
          <w:b/>
        </w:rPr>
        <w:t xml:space="preserve">User Satisfaction:</w:t>
      </w:r>
      <w:r>
        <w:t xml:space="preserve"> </w:t>
      </w:r>
      <w:r>
        <w:t xml:space="preserve">Feedback from service users and providers.</w:t>
      </w:r>
    </w:p>
    <w:bookmarkEnd w:id="25"/>
    <w:bookmarkEnd w:id="26"/>
    <w:bookmarkStart w:id="30" w:name="procedure"/>
    <w:p>
      <w:pPr>
        <w:pStyle w:val="Heading2"/>
      </w:pPr>
      <w:r>
        <w:t xml:space="preserve">5. Procedure</w:t>
      </w:r>
    </w:p>
    <w:bookmarkStart w:id="27" w:name="preparation-phase"/>
    <w:p>
      <w:pPr>
        <w:pStyle w:val="Heading3"/>
      </w:pPr>
      <w:r>
        <w:t xml:space="preserve">5.1. Preparation Phase</w:t>
      </w:r>
    </w:p>
    <w:p>
      <w:pPr>
        <w:numPr>
          <w:ilvl w:val="0"/>
          <w:numId w:val="1006"/>
        </w:numPr>
        <w:pStyle w:val="Compact"/>
      </w:pPr>
      <w:r>
        <w:t xml:space="preserve">Obtain ethical approval from relevant institutions in Australia Melbourne.</w:t>
      </w:r>
    </w:p>
    <w:p>
      <w:pPr>
        <w:numPr>
          <w:ilvl w:val="0"/>
          <w:numId w:val="1006"/>
        </w:numPr>
        <w:pStyle w:val="Compact"/>
      </w:pPr>
      <w:r>
        <w:t xml:space="preserve">Recruit and train participants, including interpreters and service providers.</w:t>
      </w:r>
    </w:p>
    <w:p>
      <w:pPr>
        <w:numPr>
          <w:ilvl w:val="0"/>
          <w:numId w:val="1006"/>
        </w:numPr>
        <w:pStyle w:val="Compact"/>
      </w:pPr>
      <w:r>
        <w:t xml:space="preserve">Develop standardized test materials reflecting common scenarios in Australia Melbourne.</w:t>
      </w:r>
    </w:p>
    <w:p>
      <w:pPr>
        <w:numPr>
          <w:ilvl w:val="0"/>
          <w:numId w:val="1006"/>
        </w:numPr>
        <w:pStyle w:val="Compact"/>
      </w:pPr>
      <w:r>
        <w:t xml:space="preserve">Set up data collection tools and ensure compliance with privacy regulations.</w:t>
      </w:r>
    </w:p>
    <w:bookmarkEnd w:id="27"/>
    <w:bookmarkStart w:id="28" w:name="execution-phase"/>
    <w:p>
      <w:pPr>
        <w:pStyle w:val="Heading3"/>
      </w:pPr>
      <w:r>
        <w:t xml:space="preserve">5.2. Execution Phase</w:t>
      </w:r>
    </w:p>
    <w:p>
      <w:pPr>
        <w:numPr>
          <w:ilvl w:val="0"/>
          <w:numId w:val="1007"/>
        </w:numPr>
        <w:pStyle w:val="Compact"/>
      </w:pPr>
      <w:r>
        <w:t xml:space="preserve">Conduct simulated scenarios in healthcare, legal, education, and community settings.</w:t>
      </w:r>
    </w:p>
    <w:p>
      <w:pPr>
        <w:numPr>
          <w:ilvl w:val="0"/>
          <w:numId w:val="1007"/>
        </w:numPr>
        <w:pStyle w:val="Compact"/>
      </w:pPr>
      <w:r>
        <w:t xml:space="preserve">Record all interactions for later analysis.</w:t>
      </w:r>
    </w:p>
    <w:p>
      <w:pPr>
        <w:numPr>
          <w:ilvl w:val="0"/>
          <w:numId w:val="1007"/>
        </w:numPr>
        <w:pStyle w:val="Compact"/>
      </w:pPr>
      <w:r>
        <w:t xml:space="preserve">Collect surveys and interview responses from participants.</w:t>
      </w:r>
    </w:p>
    <w:p>
      <w:pPr>
        <w:numPr>
          <w:ilvl w:val="0"/>
          <w:numId w:val="1007"/>
        </w:numPr>
        <w:pStyle w:val="Compact"/>
      </w:pPr>
      <w:r>
        <w:t xml:space="preserve">Monitor and document any issues or anomalies during the experiment.</w:t>
      </w:r>
    </w:p>
    <w:bookmarkEnd w:id="28"/>
    <w:bookmarkStart w:id="29" w:name="analysis-phase"/>
    <w:p>
      <w:pPr>
        <w:pStyle w:val="Heading3"/>
      </w:pPr>
      <w:r>
        <w:t xml:space="preserve">5.3. Analysis Phase</w:t>
      </w:r>
    </w:p>
    <w:p>
      <w:pPr>
        <w:numPr>
          <w:ilvl w:val="0"/>
          <w:numId w:val="1008"/>
        </w:numPr>
        <w:pStyle w:val="Compact"/>
      </w:pPr>
      <w:r>
        <w:t xml:space="preserve">Review and analyze recorded interactions and translated documents.</w:t>
      </w:r>
    </w:p>
    <w:p>
      <w:pPr>
        <w:numPr>
          <w:ilvl w:val="0"/>
          <w:numId w:val="1008"/>
        </w:numPr>
        <w:pStyle w:val="Compact"/>
      </w:pPr>
      <w:r>
        <w:t xml:space="preserve">Compare performance metrics between human and AI Translator Interpreter services.</w:t>
      </w:r>
    </w:p>
    <w:p>
      <w:pPr>
        <w:numPr>
          <w:ilvl w:val="0"/>
          <w:numId w:val="1008"/>
        </w:numPr>
        <w:pStyle w:val="Compact"/>
      </w:pPr>
      <w:r>
        <w:t xml:space="preserve">Identify trends, strengths, and weaknesses in current practices.</w:t>
      </w:r>
    </w:p>
    <w:p>
      <w:pPr>
        <w:numPr>
          <w:ilvl w:val="0"/>
          <w:numId w:val="1008"/>
        </w:numPr>
        <w:pStyle w:val="Compact"/>
      </w:pPr>
      <w:r>
        <w:t xml:space="preserve">Prepare a comprehensive report with findings and recommendations.</w:t>
      </w:r>
    </w:p>
    <w:bookmarkEnd w:id="29"/>
    <w:bookmarkEnd w:id="30"/>
    <w:bookmarkStart w:id="31" w:name="ethical-considerations"/>
    <w:p>
      <w:pPr>
        <w:pStyle w:val="Heading2"/>
      </w:pPr>
      <w:r>
        <w:t xml:space="preserve">6. Ethical Considerations</w:t>
      </w:r>
    </w:p>
    <w:p>
      <w:pPr>
        <w:pStyle w:val="FirstParagraph"/>
      </w:pPr>
      <w:r>
        <w:t xml:space="preserve">This Experiment Protocol adheres to the highest ethical standards:</w:t>
      </w:r>
    </w:p>
    <w:p>
      <w:pPr>
        <w:numPr>
          <w:ilvl w:val="0"/>
          <w:numId w:val="1009"/>
        </w:numPr>
        <w:pStyle w:val="Compact"/>
      </w:pPr>
      <w:r>
        <w:t xml:space="preserve">Informed consent will be obtained from all participants.</w:t>
      </w:r>
    </w:p>
    <w:p>
      <w:pPr>
        <w:numPr>
          <w:ilvl w:val="0"/>
          <w:numId w:val="1009"/>
        </w:numPr>
        <w:pStyle w:val="Compact"/>
      </w:pPr>
      <w:r>
        <w:t xml:space="preserve">Confidentiality and privacy of participants will be strictly maintained.</w:t>
      </w:r>
    </w:p>
    <w:p>
      <w:pPr>
        <w:numPr>
          <w:ilvl w:val="0"/>
          <w:numId w:val="1009"/>
        </w:numPr>
        <w:pStyle w:val="Compact"/>
      </w:pPr>
      <w:r>
        <w:t xml:space="preserve">Data will be anonymized and stored securely in compliance with Australian privacy laws.</w:t>
      </w:r>
    </w:p>
    <w:p>
      <w:pPr>
        <w:numPr>
          <w:ilvl w:val="0"/>
          <w:numId w:val="1009"/>
        </w:numPr>
        <w:pStyle w:val="Compact"/>
      </w:pPr>
      <w:r>
        <w:t xml:space="preserve">Participants will have the right to withdraw from the experiment at any time.</w:t>
      </w:r>
    </w:p>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November 1, 2024</w:t>
            </w:r>
          </w:p>
        </w:tc>
        <w:tc>
          <w:tcPr/>
          <w:p>
            <w:pPr>
              <w:pStyle w:val="Compact"/>
              <w:jc w:val="left"/>
            </w:pPr>
            <w:r>
              <w:t xml:space="preserve">November 29, 2024</w:t>
            </w:r>
          </w:p>
        </w:tc>
      </w:tr>
      <w:tr>
        <w:tc>
          <w:tcPr/>
          <w:p>
            <w:pPr>
              <w:pStyle w:val="Compact"/>
              <w:jc w:val="left"/>
            </w:pPr>
            <w:r>
              <w:t xml:space="preserve">Execution</w:t>
            </w:r>
          </w:p>
        </w:tc>
        <w:tc>
          <w:tcPr/>
          <w:p>
            <w:pPr>
              <w:pStyle w:val="Compact"/>
              <w:jc w:val="left"/>
            </w:pPr>
            <w:r>
              <w:t xml:space="preserve">8 weeks</w:t>
            </w:r>
          </w:p>
        </w:tc>
        <w:tc>
          <w:tcPr/>
          <w:p>
            <w:pPr>
              <w:pStyle w:val="Compact"/>
              <w:jc w:val="left"/>
            </w:pPr>
            <w:r>
              <w:t xml:space="preserve">December 1, 2024</w:t>
            </w:r>
          </w:p>
        </w:tc>
        <w:tc>
          <w:tcPr/>
          <w:p>
            <w:pPr>
              <w:pStyle w:val="Compact"/>
              <w:jc w:val="left"/>
            </w:pPr>
            <w:r>
              <w:t xml:space="preserve">January 25, 2025</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January 26, 2025</w:t>
            </w:r>
          </w:p>
        </w:tc>
        <w:tc>
          <w:tcPr/>
          <w:p>
            <w:pPr>
              <w:pStyle w:val="Compact"/>
              <w:jc w:val="left"/>
            </w:pPr>
            <w:r>
              <w:t xml:space="preserve">February 22, 2025</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February 23, 2025</w:t>
            </w:r>
          </w:p>
        </w:tc>
        <w:tc>
          <w:tcPr/>
          <w:p>
            <w:pPr>
              <w:pStyle w:val="Compact"/>
              <w:jc w:val="left"/>
            </w:pPr>
            <w:r>
              <w:t xml:space="preserve">March 8, 2025</w:t>
            </w:r>
          </w:p>
        </w:tc>
      </w:tr>
    </w:tbl>
    <w:bookmarkEnd w:id="32"/>
    <w:bookmarkStart w:id="33" w:name="conclusion"/>
    <w:p>
      <w:pPr>
        <w:pStyle w:val="Heading2"/>
      </w:pPr>
      <w:r>
        <w:t xml:space="preserve">8. Conclusion</w:t>
      </w:r>
    </w:p>
    <w:p>
      <w:pPr>
        <w:pStyle w:val="FirstParagraph"/>
      </w:pPr>
      <w:r>
        <w:t xml:space="preserve">This Experiment Protocol provides a structured approach to evaluating Translator Interpreter services in Australia Melbourne. By focusing on accuracy, cultural appropriateness, and user satisfaction, the experiment aims to enhance the quality of language services in one of the world’s most multicultural cities. The findings will inform best practices and guide future improvements in both human and AI-driven Translator Interpreter solutions.</w:t>
      </w:r>
    </w:p>
    <w:p>
      <w:pPr>
        <w:pStyle w:val="BodyText"/>
      </w:pPr>
      <w:r>
        <w:t xml:space="preserve">End of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Australia Melbourne</dc:title>
  <dc:creator/>
  <dc:language>en</dc:language>
  <cp:keywords/>
  <dcterms:created xsi:type="dcterms:W3CDTF">2026-10-10T05:01:05Z</dcterms:created>
  <dcterms:modified xsi:type="dcterms:W3CDTF">2026-10-10T05:01:05Z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