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Translator</w:t>
      </w:r>
      <w:r>
        <w:t xml:space="preserve"> </w:t>
      </w:r>
      <w:r>
        <w:t xml:space="preserve">Interpreter</w:t>
      </w:r>
      <w:r>
        <w:t xml:space="preserve"> </w:t>
      </w:r>
      <w:r>
        <w:t xml:space="preserve">Evaluation</w:t>
      </w:r>
      <w:r>
        <w:t xml:space="preserve"> </w:t>
      </w:r>
      <w:r>
        <w:t xml:space="preserve">in</w:t>
      </w:r>
      <w:r>
        <w:t xml:space="preserve"> </w:t>
      </w:r>
      <w:r>
        <w:t xml:space="preserve">Australia</w:t>
      </w:r>
      <w:r>
        <w:t xml:space="preserve"> </w:t>
      </w:r>
      <w:r>
        <w:t xml:space="preserve">Sydney</w:t>
      </w:r>
    </w:p>
    <w:bookmarkStart w:id="30" w:name="X760b207feb526a41b48b2cc3aee6c70be8dc34b"/>
    <w:p>
      <w:pPr>
        <w:pStyle w:val="Heading1"/>
      </w:pPr>
      <w:r>
        <w:t xml:space="preserve">Experiment Protocol: Evaluation of Translator Interpreter Systems in Australia Sydney</w:t>
      </w:r>
    </w:p>
    <w:p>
      <w:pPr>
        <w:pStyle w:val="FirstParagraph"/>
      </w:pPr>
      <w:r>
        <w:rPr>
          <w:bCs/>
          <w:b/>
        </w:rPr>
        <w:t xml:space="preserve">Document Version:</w:t>
      </w:r>
      <w:r>
        <w:t xml:space="preserve"> </w:t>
      </w:r>
      <w:r>
        <w:t xml:space="preserve">1.0</w:t>
      </w:r>
      <w:r>
        <w:br/>
      </w:r>
      <w:r>
        <w:rPr>
          <w:bCs/>
          <w:b/>
        </w:rPr>
        <w:t xml:space="preserve">Date:</w:t>
      </w:r>
      <w:r>
        <w:t xml:space="preserve"> </w:t>
      </w:r>
      <w:r>
        <w:t xml:space="preserve">October 2023</w:t>
      </w:r>
      <w:r>
        <w:br/>
      </w:r>
      <w:r>
        <w:rPr>
          <w:bCs/>
          <w:b/>
        </w:rPr>
        <w:t xml:space="preserve">Location:</w:t>
      </w:r>
      <w:r>
        <w:t xml:space="preserve"> </w:t>
      </w:r>
      <w:r>
        <w:t xml:space="preserve">Australia Sydney</w:t>
      </w:r>
      <w:r>
        <w:br/>
      </w:r>
      <w:r>
        <w:rPr>
          <w:bCs/>
          <w:b/>
        </w:rPr>
        <w:t xml:space="preserve">Prepared by:</w:t>
      </w:r>
      <w:r>
        <w:t xml:space="preserve"> </w:t>
      </w:r>
      <w:r>
        <w:t xml:space="preserve">Research and Development Team</w:t>
      </w:r>
    </w:p>
    <w:bookmarkStart w:id="20" w:name="introduction"/>
    <w:p>
      <w:pPr>
        <w:pStyle w:val="Heading2"/>
      </w:pPr>
      <w:r>
        <w:t xml:space="preserve">1. Introduction</w:t>
      </w:r>
    </w:p>
    <w:p>
      <w:pPr>
        <w:pStyle w:val="FirstParagraph"/>
      </w:pPr>
      <w:r>
        <w:t xml:space="preserve">This Experiment Protocol outlines the methodology for evaluating the performance of Translator Interpreter systems in the context of Australia Sydney. The primary objective is to assess the accuracy, efficiency, and cultural appropriateness of these systems when used in real-world scenarios within this specific geographic and linguistic environment.</w:t>
      </w:r>
    </w:p>
    <w:p>
      <w:pPr>
        <w:pStyle w:val="BodyText"/>
      </w:pPr>
      <w:r>
        <w:t xml:space="preserve">Australia Sydney is a multicultural hub with a diverse population, making it an ideal location for testing Translator Interpreter technologies. The city hosts a wide range of languages and dialects, including but not limited to English, Mandarin, Arabic, Vietnamese, and many Indigenous Australian languages. This diversity presents unique challenges and opportunities for Translator Interpreter systems.</w:t>
      </w:r>
    </w:p>
    <w:bookmarkEnd w:id="20"/>
    <w:bookmarkStart w:id="21" w:name="objectives"/>
    <w:p>
      <w:pPr>
        <w:pStyle w:val="Heading2"/>
      </w:pPr>
      <w:r>
        <w:t xml:space="preserve">2. Objectives</w:t>
      </w:r>
    </w:p>
    <w:p>
      <w:pPr>
        <w:pStyle w:val="FirstParagraph"/>
      </w:pPr>
      <w:r>
        <w:t xml:space="preserve">The main objectives of this experiment are:</w:t>
      </w:r>
    </w:p>
    <w:p>
      <w:pPr>
        <w:numPr>
          <w:ilvl w:val="0"/>
          <w:numId w:val="1001"/>
        </w:numPr>
        <w:pStyle w:val="Compact"/>
      </w:pPr>
      <w:r>
        <w:t xml:space="preserve">To evaluate the translation accuracy of Translator Interpreter systems across multiple languages commonly spoken in Australia Sydney.</w:t>
      </w:r>
    </w:p>
    <w:p>
      <w:pPr>
        <w:numPr>
          <w:ilvl w:val="0"/>
          <w:numId w:val="1001"/>
        </w:numPr>
        <w:pStyle w:val="Compact"/>
      </w:pPr>
      <w:r>
        <w:t xml:space="preserve">To assess the system's ability to handle colloquialisms, slang, and culturally specific expressions prevalent in Australia Sydney.</w:t>
      </w:r>
    </w:p>
    <w:p>
      <w:pPr>
        <w:numPr>
          <w:ilvl w:val="0"/>
          <w:numId w:val="1001"/>
        </w:numPr>
        <w:pStyle w:val="Compact"/>
      </w:pPr>
      <w:r>
        <w:t xml:space="preserve">To measure the response time and reliability of Translator Interpreter systems in high-traffic environments typical of Australia Sydney.</w:t>
      </w:r>
    </w:p>
    <w:p>
      <w:pPr>
        <w:numPr>
          <w:ilvl w:val="0"/>
          <w:numId w:val="1001"/>
        </w:numPr>
        <w:pStyle w:val="Compact"/>
      </w:pPr>
      <w:r>
        <w:t xml:space="preserve">To gather user feedback on the usability and effectiveness of Translator Interpreter systems in everyday situations within Australia Sydney.</w:t>
      </w:r>
    </w:p>
    <w:bookmarkEnd w:id="21"/>
    <w:bookmarkStart w:id="25" w:name="methodology"/>
    <w:p>
      <w:pPr>
        <w:pStyle w:val="Heading2"/>
      </w:pPr>
      <w:r>
        <w:t xml:space="preserve">3. Methodology</w:t>
      </w:r>
    </w:p>
    <w:bookmarkStart w:id="22" w:name="participants"/>
    <w:p>
      <w:pPr>
        <w:pStyle w:val="Heading3"/>
      </w:pPr>
      <w:r>
        <w:t xml:space="preserve">3.1 Participants</w:t>
      </w:r>
    </w:p>
    <w:p>
      <w:pPr>
        <w:pStyle w:val="FirstParagraph"/>
      </w:pPr>
      <w:r>
        <w:t xml:space="preserve">The experiment will involve a diverse group of participants from Australia Sydney, including:</w:t>
      </w:r>
    </w:p>
    <w:p>
      <w:pPr>
        <w:numPr>
          <w:ilvl w:val="0"/>
          <w:numId w:val="1002"/>
        </w:numPr>
        <w:pStyle w:val="Compact"/>
      </w:pPr>
      <w:r>
        <w:t xml:space="preserve">Native English speakers</w:t>
      </w:r>
    </w:p>
    <w:p>
      <w:pPr>
        <w:numPr>
          <w:ilvl w:val="0"/>
          <w:numId w:val="1002"/>
        </w:numPr>
        <w:pStyle w:val="Compact"/>
      </w:pPr>
      <w:r>
        <w:t xml:space="preserve">Speakers of other languages commonly used in Australia Sydney (e.g., Mandarin, Arabic, Vietnamese)</w:t>
      </w:r>
    </w:p>
    <w:p>
      <w:pPr>
        <w:numPr>
          <w:ilvl w:val="0"/>
          <w:numId w:val="1002"/>
        </w:numPr>
        <w:pStyle w:val="Compact"/>
      </w:pPr>
      <w:r>
        <w:t xml:space="preserve">Indigenous Australian language speakers</w:t>
      </w:r>
    </w:p>
    <w:p>
      <w:pPr>
        <w:numPr>
          <w:ilvl w:val="0"/>
          <w:numId w:val="1002"/>
        </w:numPr>
        <w:pStyle w:val="Compact"/>
      </w:pPr>
      <w:r>
        <w:t xml:space="preserve">Professionals who frequently use Translator Interpreter services (e.g., healthcare workers, educators, customer service representatives)</w:t>
      </w:r>
    </w:p>
    <w:p>
      <w:pPr>
        <w:pStyle w:val="FirstParagraph"/>
      </w:pPr>
      <w:r>
        <w:t xml:space="preserve">A total of 200 participants will be recruited to ensure a representative sample of the population in Australia Sydney.</w:t>
      </w:r>
    </w:p>
    <w:bookmarkEnd w:id="22"/>
    <w:bookmarkStart w:id="23" w:name="materials"/>
    <w:p>
      <w:pPr>
        <w:pStyle w:val="Heading3"/>
      </w:pPr>
      <w:r>
        <w:t xml:space="preserve">3.2 Materials</w:t>
      </w:r>
    </w:p>
    <w:p>
      <w:pPr>
        <w:pStyle w:val="FirstParagraph"/>
      </w:pPr>
      <w:r>
        <w:t xml:space="preserve">The following materials will be used in the experiment:</w:t>
      </w:r>
    </w:p>
    <w:p>
      <w:pPr>
        <w:numPr>
          <w:ilvl w:val="0"/>
          <w:numId w:val="1003"/>
        </w:numPr>
        <w:pStyle w:val="Compact"/>
      </w:pPr>
      <w:r>
        <w:t xml:space="preserve">Translator Interpreter devices and applications</w:t>
      </w:r>
    </w:p>
    <w:p>
      <w:pPr>
        <w:numPr>
          <w:ilvl w:val="0"/>
          <w:numId w:val="1003"/>
        </w:numPr>
        <w:pStyle w:val="Compact"/>
      </w:pPr>
      <w:r>
        <w:t xml:space="preserve">Standardized test scripts in various languages</w:t>
      </w:r>
    </w:p>
    <w:p>
      <w:pPr>
        <w:numPr>
          <w:ilvl w:val="0"/>
          <w:numId w:val="1003"/>
        </w:numPr>
        <w:pStyle w:val="Compact"/>
      </w:pPr>
      <w:r>
        <w:t xml:space="preserve">Audio and video recording equipment</w:t>
      </w:r>
    </w:p>
    <w:p>
      <w:pPr>
        <w:numPr>
          <w:ilvl w:val="0"/>
          <w:numId w:val="1003"/>
        </w:numPr>
        <w:pStyle w:val="Compact"/>
      </w:pPr>
      <w:r>
        <w:t xml:space="preserve">Feedback forms for participants</w:t>
      </w:r>
    </w:p>
    <w:bookmarkEnd w:id="23"/>
    <w:bookmarkStart w:id="24" w:name="procedure"/>
    <w:p>
      <w:pPr>
        <w:pStyle w:val="Heading3"/>
      </w:pPr>
      <w:r>
        <w:t xml:space="preserve">3.3 Procedure</w:t>
      </w:r>
    </w:p>
    <w:p>
      <w:pPr>
        <w:pStyle w:val="FirstParagraph"/>
      </w:pPr>
      <w:r>
        <w:t xml:space="preserve">The experiment will be conducted in three phases:</w:t>
      </w:r>
    </w:p>
    <w:p>
      <w:pPr>
        <w:numPr>
          <w:ilvl w:val="0"/>
          <w:numId w:val="1004"/>
        </w:numPr>
        <w:pStyle w:val="Compact"/>
      </w:pPr>
      <w:r>
        <w:rPr>
          <w:bCs/>
          <w:b/>
        </w:rPr>
        <w:t xml:space="preserve">Phase 1: Controlled Environment Testing</w:t>
      </w:r>
      <w:r>
        <w:br/>
      </w:r>
      <w:r>
        <w:t xml:space="preserve">Participants will engage in structured conversations using Translator Interpreter systems in a controlled setting. These conversations will cover a range of topics, including daily life, healthcare, education, and business.</w:t>
      </w:r>
    </w:p>
    <w:p>
      <w:pPr>
        <w:numPr>
          <w:ilvl w:val="0"/>
          <w:numId w:val="1004"/>
        </w:numPr>
        <w:pStyle w:val="Compact"/>
      </w:pPr>
      <w:r>
        <w:rPr>
          <w:bCs/>
          <w:b/>
        </w:rPr>
        <w:t xml:space="preserve">Phase 2: Real-World Scenario Testing</w:t>
      </w:r>
      <w:r>
        <w:br/>
      </w:r>
      <w:r>
        <w:t xml:space="preserve">Participants will use Translator Interpreter systems in real-world scenarios within Australia Sydney, such as at hospitals, schools, government offices, and public transport hubs.</w:t>
      </w:r>
    </w:p>
    <w:p>
      <w:pPr>
        <w:numPr>
          <w:ilvl w:val="0"/>
          <w:numId w:val="1004"/>
        </w:numPr>
        <w:pStyle w:val="Compact"/>
      </w:pPr>
      <w:r>
        <w:rPr>
          <w:bCs/>
          <w:b/>
        </w:rPr>
        <w:t xml:space="preserve">Phase 3: Data Analysis and Feedback Collection</w:t>
      </w:r>
      <w:r>
        <w:br/>
      </w:r>
      <w:r>
        <w:t xml:space="preserve">Data collected from Phases 1 and 2 will be analyzed, and participants will provide feedback on their experiences with the Translator Interpreter systems.</w:t>
      </w:r>
    </w:p>
    <w:bookmarkEnd w:id="24"/>
    <w:bookmarkEnd w:id="25"/>
    <w:bookmarkStart w:id="26" w:name="data-collection-and-analysis"/>
    <w:p>
      <w:pPr>
        <w:pStyle w:val="Heading2"/>
      </w:pPr>
      <w:r>
        <w:t xml:space="preserve">4. Data Collection and Analysis</w:t>
      </w:r>
    </w:p>
    <w:p>
      <w:pPr>
        <w:pStyle w:val="FirstParagraph"/>
      </w:pPr>
      <w:r>
        <w:t xml:space="preserve">Data will be collected through the following methods:</w:t>
      </w:r>
    </w:p>
    <w:p>
      <w:pPr>
        <w:numPr>
          <w:ilvl w:val="0"/>
          <w:numId w:val="1005"/>
        </w:numPr>
        <w:pStyle w:val="Compact"/>
      </w:pPr>
      <w:r>
        <w:t xml:space="preserve">Audio and video recordings of conversations</w:t>
      </w:r>
    </w:p>
    <w:p>
      <w:pPr>
        <w:numPr>
          <w:ilvl w:val="0"/>
          <w:numId w:val="1005"/>
        </w:numPr>
        <w:pStyle w:val="Compact"/>
      </w:pPr>
      <w:r>
        <w:t xml:space="preserve">Transcripts of translated content</w:t>
      </w:r>
    </w:p>
    <w:p>
      <w:pPr>
        <w:numPr>
          <w:ilvl w:val="0"/>
          <w:numId w:val="1005"/>
        </w:numPr>
        <w:pStyle w:val="Compact"/>
      </w:pPr>
      <w:r>
        <w:t xml:space="preserve">Participant feedback forms</w:t>
      </w:r>
    </w:p>
    <w:p>
      <w:pPr>
        <w:numPr>
          <w:ilvl w:val="0"/>
          <w:numId w:val="1005"/>
        </w:numPr>
        <w:pStyle w:val="Compact"/>
      </w:pPr>
      <w:r>
        <w:t xml:space="preserve">System performance metrics (e.g., response time, error rates)</w:t>
      </w:r>
    </w:p>
    <w:p>
      <w:pPr>
        <w:pStyle w:val="FirstParagraph"/>
      </w:pPr>
      <w:r>
        <w:t xml:space="preserve">The data will be analyzed using both quantitative and qualitative methods. Quantitative analysis will focus on metrics such as translation accuracy, response time, and error rates. Qualitative analysis will involve reviewing participant feedback and identifying common themes and issues.</w:t>
      </w:r>
    </w:p>
    <w:bookmarkEnd w:id="26"/>
    <w:bookmarkStart w:id="27" w:name="ethical-considerations"/>
    <w:p>
      <w:pPr>
        <w:pStyle w:val="Heading2"/>
      </w:pPr>
      <w:r>
        <w:t xml:space="preserve">5. Ethical Considerations</w:t>
      </w:r>
    </w:p>
    <w:p>
      <w:pPr>
        <w:pStyle w:val="FirstParagraph"/>
      </w:pPr>
      <w:r>
        <w:t xml:space="preserve">This experiment will adhere to the ethical guidelines set by the Australian National Health and Medical Research Council (NHMRC). Key ethical considerations include:</w:t>
      </w:r>
    </w:p>
    <w:p>
      <w:pPr>
        <w:numPr>
          <w:ilvl w:val="0"/>
          <w:numId w:val="1006"/>
        </w:numPr>
        <w:pStyle w:val="Compact"/>
      </w:pPr>
      <w:r>
        <w:t xml:space="preserve">Informed consent from all participants</w:t>
      </w:r>
    </w:p>
    <w:p>
      <w:pPr>
        <w:numPr>
          <w:ilvl w:val="0"/>
          <w:numId w:val="1006"/>
        </w:numPr>
        <w:pStyle w:val="Compact"/>
      </w:pPr>
      <w:r>
        <w:t xml:space="preserve">Confidentiality and anonymity of participant data</w:t>
      </w:r>
    </w:p>
    <w:p>
      <w:pPr>
        <w:numPr>
          <w:ilvl w:val="0"/>
          <w:numId w:val="1006"/>
        </w:numPr>
        <w:pStyle w:val="Compact"/>
      </w:pPr>
      <w:r>
        <w:t xml:space="preserve">Respect for cultural and linguistic diversity</w:t>
      </w:r>
    </w:p>
    <w:p>
      <w:pPr>
        <w:numPr>
          <w:ilvl w:val="0"/>
          <w:numId w:val="1006"/>
        </w:numPr>
        <w:pStyle w:val="Compact"/>
      </w:pPr>
      <w:r>
        <w:t xml:space="preserve">Minimization of any potential risks or discomfort to participants</w:t>
      </w:r>
    </w:p>
    <w:bookmarkEnd w:id="27"/>
    <w:bookmarkStart w:id="28" w:name="expected-outcomes"/>
    <w:p>
      <w:pPr>
        <w:pStyle w:val="Heading2"/>
      </w:pPr>
      <w:r>
        <w:t xml:space="preserve">6. Expected Outcomes</w:t>
      </w:r>
    </w:p>
    <w:p>
      <w:pPr>
        <w:pStyle w:val="FirstParagraph"/>
      </w:pPr>
      <w:r>
        <w:t xml:space="preserve">The expected outcomes of this experiment include:</w:t>
      </w:r>
    </w:p>
    <w:p>
      <w:pPr>
        <w:numPr>
          <w:ilvl w:val="0"/>
          <w:numId w:val="1007"/>
        </w:numPr>
        <w:pStyle w:val="Compact"/>
      </w:pPr>
      <w:r>
        <w:t xml:space="preserve">A comprehensive evaluation of the performance of Translator Interpreter systems in Australia Sydney.</w:t>
      </w:r>
    </w:p>
    <w:p>
      <w:pPr>
        <w:numPr>
          <w:ilvl w:val="0"/>
          <w:numId w:val="1007"/>
        </w:numPr>
        <w:pStyle w:val="Compact"/>
      </w:pPr>
      <w:r>
        <w:t xml:space="preserve">Identification of strengths and weaknesses in current Translator Interpreter technologies.</w:t>
      </w:r>
    </w:p>
    <w:p>
      <w:pPr>
        <w:numPr>
          <w:ilvl w:val="0"/>
          <w:numId w:val="1007"/>
        </w:numPr>
        <w:pStyle w:val="Compact"/>
      </w:pPr>
      <w:r>
        <w:t xml:space="preserve">Recommendations for improving the accuracy, efficiency, and cultural appropriateness of Translator Interpreter systems.</w:t>
      </w:r>
    </w:p>
    <w:p>
      <w:pPr>
        <w:numPr>
          <w:ilvl w:val="0"/>
          <w:numId w:val="1007"/>
        </w:numPr>
        <w:pStyle w:val="Compact"/>
      </w:pPr>
      <w:r>
        <w:t xml:space="preserve">Insights into the needs and preferences of users in Australia Sydney regarding Translator Interpreter services.</w:t>
      </w:r>
    </w:p>
    <w:bookmarkEnd w:id="28"/>
    <w:bookmarkStart w:id="29" w:name="conclusion"/>
    <w:p>
      <w:pPr>
        <w:pStyle w:val="Heading2"/>
      </w:pPr>
      <w:r>
        <w:t xml:space="preserve">7. Conclusion</w:t>
      </w:r>
    </w:p>
    <w:p>
      <w:pPr>
        <w:pStyle w:val="FirstParagraph"/>
      </w:pPr>
      <w:r>
        <w:t xml:space="preserve">This Experiment Protocol provides a detailed framework for evaluating Translator Interpreter systems in the context of Australia Sydney. By conducting this experiment, we aim to contribute to the development of more effective and culturally sensitive Translator Interpreter technologies that can better serve the diverse population of Australia Sydney.</w:t>
      </w:r>
    </w:p>
    <w:bookmarkEnd w:id="29"/>
    <w:p>
      <w:pPr>
        <w:pStyle w:val="BodyText"/>
      </w:pPr>
      <w:r>
        <w:t xml:space="preserve">© 2023 Research and Development Team. All rights reserved.</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Translator Interpreter Evaluation in Australia Sydney</dc:title>
  <dc:creator/>
  <dc:language>en</dc:language>
  <cp:keywords/>
  <dcterms:created xsi:type="dcterms:W3CDTF">2026-10-10T00:31:51Z</dcterms:created>
  <dcterms:modified xsi:type="dcterms:W3CDTF">2026-10-10T00:31:51Z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