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b04befa0578935fd8583e735bef4f7fb5fa98a"/>
    <w:p>
      <w:pPr>
        <w:pStyle w:val="Heading1"/>
      </w:pPr>
      <w:r>
        <w:t xml:space="preserve">Experiment Protocol: Translator Interpreter in Brazil Rio de Janeiro</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Rio de Janeiro, Brazil</w:t>
      </w:r>
      <w:r>
        <w:br/>
      </w: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document outlines the Experiment Protocol for evaluating the performance and effectiveness of Translator Interpreter systems in the context of Brazil Rio de Janeiro. The primary objective is to assess how well these systems handle linguistic, cultural, and contextual nuances specific to this region. Rio de Janeiro, known for its vibrant culture, diverse population, and unique dialects, presents a challenging yet valuable environment for testing translation and interpretation technologies.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accuracy of Translator Interpreter systems in translating Portuguese (Brazilian variant) to English and vice versa.</w:t>
      </w:r>
    </w:p>
    <w:p>
      <w:pPr>
        <w:numPr>
          <w:ilvl w:val="0"/>
          <w:numId w:val="1001"/>
        </w:numPr>
        <w:pStyle w:val="Compact"/>
      </w:pPr>
      <w:r>
        <w:t xml:space="preserve">To assess the system's ability to handle regional slang, idioms, and cultural references specific to Rio de Janeiro.</w:t>
      </w:r>
    </w:p>
    <w:p>
      <w:pPr>
        <w:numPr>
          <w:ilvl w:val="0"/>
          <w:numId w:val="1001"/>
        </w:numPr>
        <w:pStyle w:val="Compact"/>
      </w:pPr>
      <w:r>
        <w:t xml:space="preserve">To measure user satisfaction and perceived reliability of the Translator Interpreter in real-world scenarios.</w:t>
      </w:r>
    </w:p>
    <w:p>
      <w:pPr>
        <w:numPr>
          <w:ilvl w:val="0"/>
          <w:numId w:val="1001"/>
        </w:numPr>
        <w:pStyle w:val="Compact"/>
      </w:pPr>
      <w:r>
        <w:t xml:space="preserve">To identify areas for improvement in current translation and interpretation technologies.</w:t>
      </w:r>
    </w:p>
    <w:p>
      <w:pPr>
        <w:pStyle w:val="FirstParagraph"/>
      </w:pPr>
      <w:r>
        <w:t xml:space="preserve">3. Methodology</w:t>
      </w:r>
    </w:p>
    <w:p>
      <w:pPr>
        <w:pStyle w:val="BodyText"/>
      </w:pPr>
      <w:r>
        <w:t xml:space="preserve">The experiment will be conducted in multiple phases, each designed to test different aspects of the Translator Interpreter system.</w:t>
      </w:r>
    </w:p>
    <w:p>
      <w:pPr>
        <w:pStyle w:val="BodyText"/>
      </w:pPr>
      <w:r>
        <w:t xml:space="preserve">3.1 Participants</w:t>
      </w:r>
    </w:p>
    <w:p>
      <w:pPr>
        <w:pStyle w:val="BodyText"/>
      </w:pPr>
      <w:r>
        <w:t xml:space="preserve">The study will involve:</w:t>
      </w:r>
    </w:p>
    <w:p>
      <w:pPr>
        <w:numPr>
          <w:ilvl w:val="0"/>
          <w:numId w:val="1002"/>
        </w:numPr>
        <w:pStyle w:val="Compact"/>
      </w:pPr>
      <w:r>
        <w:t xml:space="preserve">Native Portuguese speakers from Rio de Janeiro.</w:t>
      </w:r>
    </w:p>
    <w:p>
      <w:pPr>
        <w:numPr>
          <w:ilvl w:val="0"/>
          <w:numId w:val="1002"/>
        </w:numPr>
        <w:pStyle w:val="Compact"/>
      </w:pPr>
      <w:r>
        <w:t xml:space="preserve">Native English speakers familiar with Brazilian culture.</w:t>
      </w:r>
    </w:p>
    <w:p>
      <w:pPr>
        <w:numPr>
          <w:ilvl w:val="0"/>
          <w:numId w:val="1002"/>
        </w:numPr>
        <w:pStyle w:val="Compact"/>
      </w:pPr>
      <w:r>
        <w:t xml:space="preserve">Professional translators and interpreters for benchmarking.</w:t>
      </w:r>
    </w:p>
    <w:p>
      <w:pPr>
        <w:pStyle w:val="FirstParagraph"/>
      </w:pPr>
      <w:r>
        <w:t xml:space="preserve">3.2 Data Collection</w:t>
      </w:r>
    </w:p>
    <w:p>
      <w:pPr>
        <w:pStyle w:val="BodyText"/>
      </w:pPr>
      <w:r>
        <w:t xml:space="preserve">Data will be collected through:</w:t>
      </w:r>
    </w:p>
    <w:p>
      <w:pPr>
        <w:numPr>
          <w:ilvl w:val="0"/>
          <w:numId w:val="1003"/>
        </w:numPr>
        <w:pStyle w:val="Compact"/>
      </w:pPr>
      <w:r>
        <w:t xml:space="preserve">Controlled translation tasks involving written text.</w:t>
      </w:r>
    </w:p>
    <w:p>
      <w:pPr>
        <w:numPr>
          <w:ilvl w:val="0"/>
          <w:numId w:val="1003"/>
        </w:numPr>
        <w:pStyle w:val="Compact"/>
      </w:pPr>
      <w:r>
        <w:t xml:space="preserve">Live interpretation sessions in various settings (e.g., tourist attractions, business meetings).</w:t>
      </w:r>
    </w:p>
    <w:p>
      <w:pPr>
        <w:numPr>
          <w:ilvl w:val="0"/>
          <w:numId w:val="1003"/>
        </w:numPr>
        <w:pStyle w:val="Compact"/>
      </w:pPr>
      <w:r>
        <w:t xml:space="preserve">User feedback surveys and interviews.</w:t>
      </w:r>
    </w:p>
    <w:p>
      <w:pPr>
        <w:pStyle w:val="FirstParagraph"/>
      </w:pPr>
      <w:r>
        <w:t xml:space="preserve">3.3 Tools and Technologies</w:t>
      </w:r>
    </w:p>
    <w:p>
      <w:pPr>
        <w:pStyle w:val="BodyText"/>
      </w:pPr>
      <w:r>
        <w:t xml:space="preserve">The following tools will be used:</w:t>
      </w:r>
    </w:p>
    <w:p>
      <w:pPr>
        <w:numPr>
          <w:ilvl w:val="0"/>
          <w:numId w:val="1004"/>
        </w:numPr>
        <w:pStyle w:val="Compact"/>
      </w:pPr>
      <w:r>
        <w:t xml:space="preserve">Commercial Translator Interpreter applications.</w:t>
      </w:r>
    </w:p>
    <w:p>
      <w:pPr>
        <w:numPr>
          <w:ilvl w:val="0"/>
          <w:numId w:val="1004"/>
        </w:numPr>
        <w:pStyle w:val="Compact"/>
      </w:pPr>
      <w:r>
        <w:t xml:space="preserve">Custom-built translation models trained on Rio-specific datasets.</w:t>
      </w:r>
    </w:p>
    <w:p>
      <w:pPr>
        <w:numPr>
          <w:ilvl w:val="0"/>
          <w:numId w:val="1004"/>
        </w:numPr>
        <w:pStyle w:val="Compact"/>
      </w:pPr>
      <w:r>
        <w:t xml:space="preserve">Audio recording devices for capturing live interpretation sessions.</w:t>
      </w:r>
    </w:p>
    <w:p>
      <w:pPr>
        <w:pStyle w:val="FirstParagraph"/>
      </w:pPr>
      <w:r>
        <w:t xml:space="preserve">4. Experimental Design</w:t>
      </w:r>
    </w:p>
    <w:p>
      <w:pPr>
        <w:pStyle w:val="BodyText"/>
      </w:pPr>
      <w:r>
        <w:t xml:space="preserve">The experiment will be divided into three main phases:</w:t>
      </w:r>
    </w:p>
    <w:p>
      <w:pPr>
        <w:pStyle w:val="BodyText"/>
      </w:pPr>
      <w:r>
        <w:t xml:space="preserve">4.1 Phase 1: Text Translation</w:t>
      </w:r>
    </w:p>
    <w:p>
      <w:pPr>
        <w:pStyle w:val="BodyText"/>
      </w:pPr>
      <w:r>
        <w:t xml:space="preserve">Participants will translate a set of predefined texts containing regional expressions, idioms, and cultural references. The translations will be evaluated for accuracy, fluency, and cultural appropriateness.</w:t>
      </w:r>
    </w:p>
    <w:p>
      <w:pPr>
        <w:pStyle w:val="BodyText"/>
      </w:pPr>
      <w:r>
        <w:t xml:space="preserve">4.2 Phase 2: Live Interpretation</w:t>
      </w:r>
    </w:p>
    <w:p>
      <w:pPr>
        <w:pStyle w:val="BodyText"/>
      </w:pPr>
      <w:r>
        <w:t xml:space="preserve">Live interpretation sessions will be conducted in various locations across Rio de Janeiro, including:</w:t>
      </w:r>
    </w:p>
    <w:p>
      <w:pPr>
        <w:numPr>
          <w:ilvl w:val="0"/>
          <w:numId w:val="1005"/>
        </w:numPr>
        <w:pStyle w:val="Compact"/>
      </w:pPr>
      <w:r>
        <w:t xml:space="preserve">Tourist sites (e.g., Christ the Redeemer, Copacabana Beach).</w:t>
      </w:r>
    </w:p>
    <w:p>
      <w:pPr>
        <w:numPr>
          <w:ilvl w:val="0"/>
          <w:numId w:val="1005"/>
        </w:numPr>
        <w:pStyle w:val="Compact"/>
      </w:pPr>
      <w:r>
        <w:t xml:space="preserve">Business environments (e.g., meetings, conferences).</w:t>
      </w:r>
    </w:p>
    <w:p>
      <w:pPr>
        <w:numPr>
          <w:ilvl w:val="0"/>
          <w:numId w:val="1005"/>
        </w:numPr>
        <w:pStyle w:val="Compact"/>
      </w:pPr>
      <w:r>
        <w:t xml:space="preserve">Healthcare settings (e.g., doctor-patient consultations).</w:t>
      </w:r>
    </w:p>
    <w:p>
      <w:pPr>
        <w:pStyle w:val="FirstParagraph"/>
      </w:pPr>
      <w:r>
        <w:t xml:space="preserve">These sessions will be recorded and later analyzed for accuracy and effectiveness.</w:t>
      </w:r>
    </w:p>
    <w:p>
      <w:pPr>
        <w:pStyle w:val="BodyText"/>
      </w:pPr>
      <w:r>
        <w:t xml:space="preserve">4.3 Phase 3: User Feedback</w:t>
      </w:r>
    </w:p>
    <w:p>
      <w:pPr>
        <w:pStyle w:val="BodyText"/>
      </w:pPr>
      <w:r>
        <w:t xml:space="preserve">Participants will complete surveys and participate in interviews to provide feedback on their experience with the Translator Interpreter systems. Key areas of focus will include ease of use, reliability, and overall satisfaction.</w:t>
      </w:r>
    </w:p>
    <w:p>
      <w:pPr>
        <w:pStyle w:val="BodyText"/>
      </w:pPr>
      <w:r>
        <w:t xml:space="preserve">5. Evaluation Criteria</w:t>
      </w:r>
    </w:p>
    <w:p>
      <w:pPr>
        <w:pStyle w:val="BodyText"/>
      </w:pPr>
      <w:r>
        <w:t xml:space="preserve">The performance of the Translator Interpreter systems will be evaluated based on the following criteria:</w:t>
      </w:r>
    </w:p>
    <w:p>
      <w:pPr>
        <w:numPr>
          <w:ilvl w:val="0"/>
          <w:numId w:val="1006"/>
        </w:numPr>
        <w:pStyle w:val="Compact"/>
      </w:pPr>
      <w:r>
        <w:rPr>
          <w:bCs/>
          <w:b/>
        </w:rPr>
        <w:t xml:space="preserve">Accuracy:</w:t>
      </w:r>
      <w:r>
        <w:t xml:space="preserve"> </w:t>
      </w:r>
      <w:r>
        <w:t xml:space="preserve">How closely the translation or interpretation matches the original meaning.</w:t>
      </w:r>
    </w:p>
    <w:p>
      <w:pPr>
        <w:numPr>
          <w:ilvl w:val="0"/>
          <w:numId w:val="1006"/>
        </w:numPr>
        <w:pStyle w:val="Compact"/>
      </w:pPr>
      <w:r>
        <w:rPr>
          <w:bCs/>
          <w:b/>
        </w:rPr>
        <w:t xml:space="preserve">Fluency:</w:t>
      </w:r>
      <w:r>
        <w:t xml:space="preserve"> </w:t>
      </w:r>
      <w:r>
        <w:t xml:space="preserve">The naturalness and readability of the translated text or spoken interpretation.</w:t>
      </w:r>
    </w:p>
    <w:p>
      <w:pPr>
        <w:numPr>
          <w:ilvl w:val="0"/>
          <w:numId w:val="1006"/>
        </w:numPr>
        <w:pStyle w:val="Compact"/>
      </w:pPr>
      <w:r>
        <w:rPr>
          <w:bCs/>
          <w:b/>
        </w:rPr>
        <w:t xml:space="preserve">Cultural Appropriateness:</w:t>
      </w:r>
      <w:r>
        <w:t xml:space="preserve"> </w:t>
      </w:r>
      <w:r>
        <w:t xml:space="preserve">The system's ability to handle cultural nuances and regional expressions.</w:t>
      </w:r>
    </w:p>
    <w:p>
      <w:pPr>
        <w:numPr>
          <w:ilvl w:val="0"/>
          <w:numId w:val="1006"/>
        </w:numPr>
        <w:pStyle w:val="Compact"/>
      </w:pPr>
      <w:r>
        <w:rPr>
          <w:bCs/>
          <w:b/>
        </w:rPr>
        <w:t xml:space="preserve">User Satisfaction:</w:t>
      </w:r>
      <w:r>
        <w:t xml:space="preserve"> </w:t>
      </w:r>
      <w:r>
        <w:t xml:space="preserve">Feedback from participants on their overall experience.</w:t>
      </w:r>
    </w:p>
    <w:p>
      <w:pPr>
        <w:pStyle w:val="FirstParagraph"/>
      </w:pPr>
      <w:r>
        <w:t xml:space="preserve">6. Ethical Considerations</w:t>
      </w:r>
    </w:p>
    <w:p>
      <w:pPr>
        <w:pStyle w:val="BodyText"/>
      </w:pPr>
      <w:r>
        <w:t xml:space="preserve">The following ethical guidelines will be followed:</w:t>
      </w:r>
    </w:p>
    <w:p>
      <w:pPr>
        <w:numPr>
          <w:ilvl w:val="0"/>
          <w:numId w:val="1007"/>
        </w:numPr>
        <w:pStyle w:val="Compact"/>
      </w:pPr>
      <w:r>
        <w:t xml:space="preserve">Informed consent will be obtained from all participants.</w:t>
      </w:r>
    </w:p>
    <w:p>
      <w:pPr>
        <w:numPr>
          <w:ilvl w:val="0"/>
          <w:numId w:val="1007"/>
        </w:numPr>
        <w:pStyle w:val="Compact"/>
      </w:pPr>
      <w:r>
        <w:t xml:space="preserve">Participant data will be anonymized and stored securely.</w:t>
      </w:r>
    </w:p>
    <w:p>
      <w:pPr>
        <w:numPr>
          <w:ilvl w:val="0"/>
          <w:numId w:val="1007"/>
        </w:numPr>
        <w:pStyle w:val="Compact"/>
      </w:pPr>
      <w:r>
        <w:t xml:space="preserve">The study will comply with all relevant local and international regulations.</w:t>
      </w:r>
    </w:p>
    <w:p>
      <w:pPr>
        <w:pStyle w:val="FirstParagraph"/>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Text Translation</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Phase 2: Live Interpretation</w:t>
            </w:r>
          </w:p>
        </w:tc>
        <w:tc>
          <w:tcPr/>
          <w:p>
            <w:pPr>
              <w:pStyle w:val="Compact"/>
              <w:jc w:val="left"/>
            </w:pPr>
            <w:r>
              <w:t xml:space="preserve">6 weeks</w:t>
            </w:r>
          </w:p>
        </w:tc>
        <w:tc>
          <w:tcPr/>
          <w:p>
            <w:pPr>
              <w:pStyle w:val="Compact"/>
              <w:jc w:val="left"/>
            </w:pPr>
            <w:r>
              <w:t xml:space="preserve">December 1, 2023</w:t>
            </w:r>
          </w:p>
        </w:tc>
        <w:tc>
          <w:tcPr/>
          <w:p>
            <w:pPr>
              <w:pStyle w:val="Compact"/>
              <w:jc w:val="left"/>
            </w:pPr>
            <w:r>
              <w:t xml:space="preserve">January 15, 2024</w:t>
            </w:r>
          </w:p>
        </w:tc>
      </w:tr>
      <w:tr>
        <w:tc>
          <w:tcPr/>
          <w:p>
            <w:pPr>
              <w:pStyle w:val="Compact"/>
              <w:jc w:val="left"/>
            </w:pPr>
            <w:r>
              <w:t xml:space="preserve">Phase 3: User Feedback</w:t>
            </w:r>
          </w:p>
        </w:tc>
        <w:tc>
          <w:tcPr/>
          <w:p>
            <w:pPr>
              <w:pStyle w:val="Compact"/>
              <w:jc w:val="left"/>
            </w:pPr>
            <w:r>
              <w:t xml:space="preserve">2 weeks</w:t>
            </w:r>
          </w:p>
        </w:tc>
        <w:tc>
          <w:tcPr/>
          <w:p>
            <w:pPr>
              <w:pStyle w:val="Compact"/>
              <w:jc w:val="left"/>
            </w:pPr>
            <w:r>
              <w:t xml:space="preserve">January 16, 2024</w:t>
            </w:r>
          </w:p>
        </w:tc>
        <w:tc>
          <w:tcPr/>
          <w:p>
            <w:pPr>
              <w:pStyle w:val="Compact"/>
              <w:jc w:val="left"/>
            </w:pPr>
            <w:r>
              <w:t xml:space="preserve">January 31, 2024</w:t>
            </w:r>
          </w:p>
        </w:tc>
      </w:tr>
      <w:tr>
        <w:tc>
          <w:tcPr/>
          <w:p>
            <w:pPr>
              <w:pStyle w:val="Compact"/>
              <w:jc w:val="left"/>
            </w:pPr>
            <w:r>
              <w:t xml:space="preserve">Data Analysis and Reporting</w:t>
            </w:r>
          </w:p>
        </w:tc>
        <w:tc>
          <w:tcPr/>
          <w:p>
            <w:pPr>
              <w:pStyle w:val="Compact"/>
              <w:jc w:val="left"/>
            </w:pPr>
            <w:r>
              <w:t xml:space="preserve">4 weeks</w:t>
            </w:r>
          </w:p>
        </w:tc>
        <w:tc>
          <w:tcPr/>
          <w:p>
            <w:pPr>
              <w:pStyle w:val="Compact"/>
              <w:jc w:val="left"/>
            </w:pPr>
            <w:r>
              <w:t xml:space="preserve">February 1, 2024</w:t>
            </w:r>
          </w:p>
        </w:tc>
        <w:tc>
          <w:tcPr/>
          <w:p>
            <w:pPr>
              <w:pStyle w:val="Compact"/>
              <w:jc w:val="left"/>
            </w:pPr>
            <w:r>
              <w:t xml:space="preserve">February 29, 2024</w:t>
            </w:r>
          </w:p>
        </w:tc>
      </w:tr>
    </w:tbl>
    <w:p>
      <w:pPr>
        <w:pStyle w:val="BodyText"/>
      </w:pPr>
      <w:r>
        <w:t xml:space="preserve">8. Conclusion</w:t>
      </w:r>
    </w:p>
    <w:p>
      <w:pPr>
        <w:pStyle w:val="BodyText"/>
      </w:pPr>
      <w:r>
        <w:t xml:space="preserve">This Experiment Protocol provides a comprehensive framework for evaluating Translator Interpreter systems in the unique context of Brazil Rio de Janeiro. By focusing on linguistic accuracy, cultural appropriateness, and user satisfaction, this study aims to contribute valuable insights to the field of translation and interpretation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Brazil Rio de Janeiro</dc:title>
  <dc:creator/>
  <dc:language>en</dc:language>
  <cp:keywords/>
  <dcterms:created xsi:type="dcterms:W3CDTF">2026-10-10T01:17:16Z</dcterms:created>
  <dcterms:modified xsi:type="dcterms:W3CDTF">2026-10-10T01:17:16Z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