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Canada</w:t>
      </w:r>
      <w:r>
        <w:t xml:space="preserve"> </w:t>
      </w:r>
      <w:r>
        <w:t xml:space="preserve">Toronto</w:t>
      </w:r>
    </w:p>
    <w:bookmarkStart w:id="20" w:name="X1ef2a9925b293c2517d99b0fbd7adcdd804f570"/>
    <w:p>
      <w:pPr>
        <w:pStyle w:val="Heading1"/>
      </w:pPr>
      <w:r>
        <w:t xml:space="preserve">Experiment Protocol: Evaluation of Translator Interpreter Services in Canada Toronto</w:t>
      </w:r>
    </w:p>
    <w:p>
      <w:pPr>
        <w:pStyle w:val="FirstParagraph"/>
      </w:pPr>
      <w:r>
        <w:rPr>
          <w:bCs/>
          <w:b/>
        </w:rPr>
        <w:t xml:space="preserve">Protocol ID:</w:t>
      </w:r>
      <w:r>
        <w:t xml:space="preserve"> </w:t>
      </w:r>
      <w:r>
        <w:t xml:space="preserve">TI-TO-2024-001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Toronto, Ontario, Canada</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cultural appropriateness of Translator Interpreter services within the diverse linguistic landscape of Canada Toronto. Toronto is one of the most multicultural cities in the world, with over 200 languages spoken by its residents. This linguistic diversity creates a critical need for high-quality translation and interpretation services across healthcare, legal, education, and public administration sectors.</w:t>
      </w:r>
    </w:p>
    <w:p>
      <w:pPr>
        <w:pStyle w:val="BodyText"/>
      </w:pPr>
      <w:r>
        <w:t xml:space="preserve">The purpose of this experiment is to assess how well current Translator Interpreter solutions—both human and technology-assisted—meet the needs of multilingual communities in Toronto. The findings will inform best practices, training programs, and policy recommendations for improving communication equity in Canada Toronto.</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accuracy and completeness of translations and interpretations across key languages spoken in Canada Toronto.</w:t>
      </w:r>
    </w:p>
    <w:p>
      <w:pPr>
        <w:numPr>
          <w:ilvl w:val="0"/>
          <w:numId w:val="1001"/>
        </w:numPr>
        <w:pStyle w:val="Compact"/>
      </w:pPr>
      <w:r>
        <w:t xml:space="preserve">To assess the cultural sensitivity and contextual appropriateness of Translator Interpreter outputs.</w:t>
      </w:r>
    </w:p>
    <w:p>
      <w:pPr>
        <w:numPr>
          <w:ilvl w:val="0"/>
          <w:numId w:val="1001"/>
        </w:numPr>
        <w:pStyle w:val="Compact"/>
      </w:pPr>
      <w:r>
        <w:t xml:space="preserve">To compare human Translator Interpreter performance with AI-assisted tools in real-world scenarios.</w:t>
      </w:r>
    </w:p>
    <w:p>
      <w:pPr>
        <w:numPr>
          <w:ilvl w:val="0"/>
          <w:numId w:val="1001"/>
        </w:numPr>
        <w:pStyle w:val="Compact"/>
      </w:pPr>
      <w:r>
        <w:t xml:space="preserve">To identify gaps in service delivery and propose improvements tailored to the needs of Toronto’s multilingual population.</w:t>
      </w:r>
    </w:p>
    <w:bookmarkEnd w:id="22"/>
    <w:bookmarkStart w:id="23" w:name="scope"/>
    <w:p>
      <w:pPr>
        <w:pStyle w:val="Heading2"/>
      </w:pPr>
      <w:r>
        <w:t xml:space="preserve">3. Scope</w:t>
      </w:r>
    </w:p>
    <w:p>
      <w:pPr>
        <w:pStyle w:val="FirstParagraph"/>
      </w:pPr>
      <w:r>
        <w:t xml:space="preserve">This experiment will focus on Translator Interpreter services used in the following domains within Canada Toronto:</w:t>
      </w:r>
    </w:p>
    <w:p>
      <w:pPr>
        <w:numPr>
          <w:ilvl w:val="0"/>
          <w:numId w:val="1002"/>
        </w:numPr>
        <w:pStyle w:val="Compact"/>
      </w:pPr>
      <w:r>
        <w:t xml:space="preserve">Healthcare (e.g., patient-provider communication)</w:t>
      </w:r>
    </w:p>
    <w:p>
      <w:pPr>
        <w:numPr>
          <w:ilvl w:val="0"/>
          <w:numId w:val="1002"/>
        </w:numPr>
        <w:pStyle w:val="Compact"/>
      </w:pPr>
      <w:r>
        <w:t xml:space="preserve">Legal services (e.g., court proceedings, immigration consultations)</w:t>
      </w:r>
    </w:p>
    <w:p>
      <w:pPr>
        <w:numPr>
          <w:ilvl w:val="0"/>
          <w:numId w:val="1002"/>
        </w:numPr>
        <w:pStyle w:val="Compact"/>
      </w:pPr>
      <w:r>
        <w:t xml:space="preserve">Education (e.g., parent-teacher meetings, student support)</w:t>
      </w:r>
    </w:p>
    <w:p>
      <w:pPr>
        <w:numPr>
          <w:ilvl w:val="0"/>
          <w:numId w:val="1002"/>
        </w:numPr>
        <w:pStyle w:val="Compact"/>
      </w:pPr>
      <w:r>
        <w:t xml:space="preserve">Public services (e.g., municipal offices, emergency services)</w:t>
      </w:r>
    </w:p>
    <w:p>
      <w:pPr>
        <w:pStyle w:val="FirstParagraph"/>
      </w:pPr>
      <w:r>
        <w:t xml:space="preserve">Languages included in this study will reflect the most commonly spoken non-official languages in Toronto, including Mandarin, Cantonese, Punjabi, Arabic, Spanish, Tagalog, and French (in addition to English).</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use a mixed-methods approach, combining quantitative metrics (e.g., accuracy scores, response times) with qualitative assessments (e.g., user satisfaction, cultural appropriateness). The study will involve controlled simulations and real-world observations.</w:t>
      </w:r>
    </w:p>
    <w:bookmarkEnd w:id="24"/>
    <w:bookmarkStart w:id="25" w:name="participants"/>
    <w:p>
      <w:pPr>
        <w:pStyle w:val="Heading3"/>
      </w:pPr>
      <w:r>
        <w:t xml:space="preserve">4.2 Participants</w:t>
      </w:r>
    </w:p>
    <w:p>
      <w:pPr>
        <w:pStyle w:val="FirstParagraph"/>
      </w:pPr>
      <w:r>
        <w:t xml:space="preserve">Participants will include:</w:t>
      </w:r>
    </w:p>
    <w:p>
      <w:pPr>
        <w:numPr>
          <w:ilvl w:val="0"/>
          <w:numId w:val="1003"/>
        </w:numPr>
        <w:pStyle w:val="Compact"/>
      </w:pPr>
      <w:r>
        <w:t xml:space="preserve">Certified human Translator Interpreters registered with Ontario professional bodies.</w:t>
      </w:r>
    </w:p>
    <w:p>
      <w:pPr>
        <w:numPr>
          <w:ilvl w:val="0"/>
          <w:numId w:val="1003"/>
        </w:numPr>
        <w:pStyle w:val="Compact"/>
      </w:pPr>
      <w:r>
        <w:t xml:space="preserve">AI-powered translation and interpretation tools currently used in Toronto institutions.</w:t>
      </w:r>
    </w:p>
    <w:p>
      <w:pPr>
        <w:numPr>
          <w:ilvl w:val="0"/>
          <w:numId w:val="1003"/>
        </w:numPr>
        <w:pStyle w:val="Compact"/>
      </w:pPr>
      <w:r>
        <w:t xml:space="preserve">End-users from multilingual communities in Canada Toronto, recruited through community organizations.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Standardized test scenarios simulating real-life interactions in healthcare, legal, and public service settings.</w:t>
      </w:r>
    </w:p>
    <w:p>
      <w:pPr>
        <w:numPr>
          <w:ilvl w:val="0"/>
          <w:numId w:val="1004"/>
        </w:numPr>
        <w:pStyle w:val="Compact"/>
      </w:pPr>
      <w:r>
        <w:t xml:space="preserve">Live interpretation sessions recorded (with consent) for later analysis.</w:t>
      </w:r>
    </w:p>
    <w:p>
      <w:pPr>
        <w:numPr>
          <w:ilvl w:val="0"/>
          <w:numId w:val="1004"/>
        </w:numPr>
        <w:pStyle w:val="Compact"/>
      </w:pPr>
      <w:r>
        <w:t xml:space="preserve">Surveys and interviews with users and professionals regarding their experiences with Translator Interpreter services.</w:t>
      </w:r>
    </w:p>
    <w:bookmarkEnd w:id="26"/>
    <w:bookmarkStart w:id="27" w:name="evaluation-criteria"/>
    <w:p>
      <w:pPr>
        <w:pStyle w:val="Heading3"/>
      </w:pPr>
      <w:r>
        <w:t xml:space="preserve">4.4 Evaluation Criteria</w:t>
      </w:r>
    </w:p>
    <w:p>
      <w:pPr>
        <w:pStyle w:val="FirstParagraph"/>
      </w:pPr>
      <w:r>
        <w:t xml:space="preserve">Each Translator Interpreter output will be evaluated based on:</w:t>
      </w:r>
    </w:p>
    <w:p>
      <w:pPr>
        <w:numPr>
          <w:ilvl w:val="0"/>
          <w:numId w:val="1005"/>
        </w:numPr>
        <w:pStyle w:val="Compact"/>
      </w:pPr>
      <w:r>
        <w:rPr>
          <w:bCs/>
          <w:b/>
        </w:rPr>
        <w:t xml:space="preserve">Accuracy:</w:t>
      </w:r>
      <w:r>
        <w:t xml:space="preserve"> </w:t>
      </w:r>
      <w:r>
        <w:t xml:space="preserve">Faithfulness to the original message.</w:t>
      </w:r>
    </w:p>
    <w:p>
      <w:pPr>
        <w:numPr>
          <w:ilvl w:val="0"/>
          <w:numId w:val="1005"/>
        </w:numPr>
        <w:pStyle w:val="Compact"/>
      </w:pPr>
      <w:r>
        <w:rPr>
          <w:bCs/>
          <w:b/>
        </w:rPr>
        <w:t xml:space="preserve">Completeness:</w:t>
      </w:r>
      <w:r>
        <w:t xml:space="preserve"> </w:t>
      </w:r>
      <w:r>
        <w:t xml:space="preserve">Inclusion of all relevant information.</w:t>
      </w:r>
    </w:p>
    <w:p>
      <w:pPr>
        <w:numPr>
          <w:ilvl w:val="0"/>
          <w:numId w:val="1005"/>
        </w:numPr>
        <w:pStyle w:val="Compact"/>
      </w:pPr>
      <w:r>
        <w:rPr>
          <w:bCs/>
          <w:b/>
        </w:rPr>
        <w:t xml:space="preserve">Clarity:</w:t>
      </w:r>
      <w:r>
        <w:t xml:space="preserve"> </w:t>
      </w:r>
      <w:r>
        <w:t xml:space="preserve">Ease of understanding for the target audience.</w:t>
      </w:r>
    </w:p>
    <w:p>
      <w:pPr>
        <w:numPr>
          <w:ilvl w:val="0"/>
          <w:numId w:val="1005"/>
        </w:numPr>
        <w:pStyle w:val="Compact"/>
      </w:pPr>
      <w:r>
        <w:rPr>
          <w:bCs/>
          <w:b/>
        </w:rPr>
        <w:t xml:space="preserve">Cultural Appropriateness:</w:t>
      </w:r>
      <w:r>
        <w:t xml:space="preserve"> </w:t>
      </w:r>
      <w:r>
        <w:t xml:space="preserve">Sensitivity to cultural norms and context in Canada Toronto.</w:t>
      </w:r>
    </w:p>
    <w:p>
      <w:pPr>
        <w:numPr>
          <w:ilvl w:val="0"/>
          <w:numId w:val="1005"/>
        </w:numPr>
        <w:pStyle w:val="Compact"/>
      </w:pPr>
      <w:r>
        <w:rPr>
          <w:bCs/>
          <w:b/>
        </w:rPr>
        <w:t xml:space="preserve">Timeliness:</w:t>
      </w:r>
      <w:r>
        <w:t xml:space="preserve"> </w:t>
      </w:r>
      <w:r>
        <w:t xml:space="preserve">Speed of delivery in real-time interpretation scenarios.</w:t>
      </w:r>
    </w:p>
    <w:bookmarkEnd w:id="27"/>
    <w:bookmarkEnd w:id="28"/>
    <w:bookmarkStart w:id="29" w:name="ethical-considerations"/>
    <w:p>
      <w:pPr>
        <w:pStyle w:val="Heading2"/>
      </w:pPr>
      <w:r>
        <w:t xml:space="preserve">5. Ethical Considerations</w:t>
      </w:r>
    </w:p>
    <w:p>
      <w:pPr>
        <w:pStyle w:val="FirstParagraph"/>
      </w:pPr>
      <w:r>
        <w:t xml:space="preserve">This Experiment Protocol adheres to Canadian ethical standards for research involving human participants. Key considerations include:</w:t>
      </w:r>
    </w:p>
    <w:p>
      <w:pPr>
        <w:numPr>
          <w:ilvl w:val="0"/>
          <w:numId w:val="1006"/>
        </w:numPr>
        <w:pStyle w:val="Compact"/>
      </w:pPr>
      <w:r>
        <w:t xml:space="preserve">Informed consent will be obtained from all participants.</w:t>
      </w:r>
    </w:p>
    <w:p>
      <w:pPr>
        <w:numPr>
          <w:ilvl w:val="0"/>
          <w:numId w:val="1006"/>
        </w:numPr>
        <w:pStyle w:val="Compact"/>
      </w:pPr>
      <w:r>
        <w:t xml:space="preserve">Confidentiality and anonymity will be maintained throughout the study.</w:t>
      </w:r>
    </w:p>
    <w:p>
      <w:pPr>
        <w:numPr>
          <w:ilvl w:val="0"/>
          <w:numId w:val="1006"/>
        </w:numPr>
        <w:pStyle w:val="Compact"/>
      </w:pPr>
      <w:r>
        <w:t xml:space="preserve">Data will be stored securely in compliance with Canada’s Personal Information Protection and Electronic Documents Act (PIPEDA).</w:t>
      </w:r>
    </w:p>
    <w:p>
      <w:pPr>
        <w:numPr>
          <w:ilvl w:val="0"/>
          <w:numId w:val="1006"/>
        </w:numPr>
        <w:pStyle w:val="Compact"/>
      </w:pPr>
      <w:r>
        <w:t xml:space="preserve">Participants will be informed of their right to withdraw at any time without penalty.</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Recruitment, tool selection, scenario development</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Conduct simulations, live sessions, surveys</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Evaluate data, compare results, identify trends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Prepare final report and recommendations</w:t>
            </w:r>
          </w:p>
        </w:tc>
      </w:tr>
    </w:tbl>
    <w:bookmarkEnd w:id="30"/>
    <w:bookmarkStart w:id="31" w:name="expected-outcomes"/>
    <w:p>
      <w:pPr>
        <w:pStyle w:val="Heading2"/>
      </w:pPr>
      <w:r>
        <w:t xml:space="preserve">7. Expected Outcomes</w:t>
      </w:r>
    </w:p>
    <w:p>
      <w:pPr>
        <w:pStyle w:val="FirstParagraph"/>
      </w:pPr>
      <w:r>
        <w:t xml:space="preserve">This Experiment Protocol aims to produce:</w:t>
      </w:r>
    </w:p>
    <w:p>
      <w:pPr>
        <w:numPr>
          <w:ilvl w:val="0"/>
          <w:numId w:val="1007"/>
        </w:numPr>
        <w:pStyle w:val="Compact"/>
      </w:pPr>
      <w:r>
        <w:t xml:space="preserve">A comprehensive assessment of Translator Interpreter performance in Canada Toronto.</w:t>
      </w:r>
    </w:p>
    <w:p>
      <w:pPr>
        <w:numPr>
          <w:ilvl w:val="0"/>
          <w:numId w:val="1007"/>
        </w:numPr>
        <w:pStyle w:val="Compact"/>
      </w:pPr>
      <w:r>
        <w:t xml:space="preserve">Recommendations for improving training and certification of human interpreters.</w:t>
      </w:r>
    </w:p>
    <w:p>
      <w:pPr>
        <w:numPr>
          <w:ilvl w:val="0"/>
          <w:numId w:val="1007"/>
        </w:numPr>
        <w:pStyle w:val="Compact"/>
      </w:pPr>
      <w:r>
        <w:t xml:space="preserve">Guidelines for the ethical and effective use of AI-assisted translation tools.</w:t>
      </w:r>
    </w:p>
    <w:p>
      <w:pPr>
        <w:numPr>
          <w:ilvl w:val="0"/>
          <w:numId w:val="1007"/>
        </w:numPr>
        <w:pStyle w:val="Compact"/>
      </w:pPr>
      <w:r>
        <w:t xml:space="preserve">Policy suggestions for municipal and provincial agencies to enhance multilingual service delivery.</w:t>
      </w:r>
    </w:p>
    <w:bookmarkEnd w:id="31"/>
    <w:bookmarkStart w:id="32" w:name="conclusion"/>
    <w:p>
      <w:pPr>
        <w:pStyle w:val="Heading2"/>
      </w:pPr>
      <w:r>
        <w:t xml:space="preserve">8. Conclusion</w:t>
      </w:r>
    </w:p>
    <w:p>
      <w:pPr>
        <w:pStyle w:val="FirstParagraph"/>
      </w:pPr>
      <w:r>
        <w:t xml:space="preserve">By systematically evaluating Translator Interpreter services within the unique context of Canada Toronto, this Experiment Protocol seeks to advance communication equity and inclusivity. The insights gained will support stakeholders in delivering more accurate, culturally sensitive, and accessible services to Toronto’s diverse population.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Canada Toronto</dc:title>
  <dc:creator/>
  <dc:language>en</dc:language>
  <cp:keywords/>
  <dcterms:created xsi:type="dcterms:W3CDTF">2026-10-10T03:56:20Z</dcterms:created>
  <dcterms:modified xsi:type="dcterms:W3CDTF">2026-10-10T03:56:20Z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