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Vancouver</w:t>
      </w:r>
    </w:p>
    <w:bookmarkStart w:id="33" w:name="Xc8a223352aeff4afc83dfc69cd787f77064236a"/>
    <w:p>
      <w:pPr>
        <w:pStyle w:val="Heading1"/>
      </w:pPr>
      <w:r>
        <w:t xml:space="preserve">Experiment Protocol: Translator Interpreter in Canada Vancouver</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accuracy, and cultural appropriateness of Translator Interpreter services in Canada Vancouver. Vancouver is a highly multicultural city with significant populations speaking Mandarin, Cantonese, Punjabi, Tagalog, Korean, and many other languages. The need for reliable translation and interpretation services is critical in healthcare, legal, education, and public administration sectors.</w:t>
      </w:r>
    </w:p>
    <w:p>
      <w:pPr>
        <w:pStyle w:val="BodyText"/>
      </w:pPr>
      <w:r>
        <w:t xml:space="preserve">The purpose of this experiment is to assess how well Translator Interpreter professionals and systems meet the linguistic and cultural needs of diverse communities in Canada Vancouver. This protocol ensures standardized procedures, ethical compliance, and measurable outcomes.</w:t>
      </w:r>
    </w:p>
    <w:bookmarkEnd w:id="20"/>
    <w:bookmarkStart w:id="21" w:name="objectives"/>
    <w:p>
      <w:pPr>
        <w:pStyle w:val="Heading2"/>
      </w:pPr>
      <w:r>
        <w:t xml:space="preserve">2. Objectives</w:t>
      </w:r>
    </w:p>
    <w:p>
      <w:pPr>
        <w:numPr>
          <w:ilvl w:val="0"/>
          <w:numId w:val="1001"/>
        </w:numPr>
        <w:pStyle w:val="Compact"/>
      </w:pPr>
      <w:r>
        <w:t xml:space="preserve">To evaluate the accuracy of Translator Interpreter services across multiple languages commonly spoken in Canada Vancouver.</w:t>
      </w:r>
    </w:p>
    <w:p>
      <w:pPr>
        <w:numPr>
          <w:ilvl w:val="0"/>
          <w:numId w:val="1001"/>
        </w:numPr>
        <w:pStyle w:val="Compact"/>
      </w:pPr>
      <w:r>
        <w:t xml:space="preserve">To assess the cultural sensitivity and contextual appropriateness of translations and interpretations.</w:t>
      </w:r>
    </w:p>
    <w:p>
      <w:pPr>
        <w:numPr>
          <w:ilvl w:val="0"/>
          <w:numId w:val="1001"/>
        </w:numPr>
        <w:pStyle w:val="Compact"/>
      </w:pPr>
      <w:r>
        <w:t xml:space="preserve">To compare human Translator Interpreter performance with automated translation tools in real-world scenarios.</w:t>
      </w:r>
    </w:p>
    <w:p>
      <w:pPr>
        <w:numPr>
          <w:ilvl w:val="0"/>
          <w:numId w:val="1001"/>
        </w:numPr>
        <w:pStyle w:val="Compact"/>
      </w:pPr>
      <w:r>
        <w:t xml:space="preserve">To identify gaps in current Translator Interpreter services and recommend improvements tailored to Canada Vancouver’s multicultural environment.</w:t>
      </w:r>
    </w:p>
    <w:bookmarkEnd w:id="21"/>
    <w:bookmarkStart w:id="22" w:name="scope"/>
    <w:p>
      <w:pPr>
        <w:pStyle w:val="Heading2"/>
      </w:pPr>
      <w:r>
        <w:t xml:space="preserve">3. Scope</w:t>
      </w:r>
    </w:p>
    <w:p>
      <w:pPr>
        <w:pStyle w:val="FirstParagraph"/>
      </w:pPr>
      <w:r>
        <w:t xml:space="preserve">This experiment will focus on Translator Interpreter services used in healthcare, legal, and municipal government settings within Canada Vancouver. The study will include both professional human interpreters and certified translation services, as well as selected automated translation platforms.</w:t>
      </w:r>
    </w:p>
    <w:p>
      <w:pPr>
        <w:pStyle w:val="BodyText"/>
      </w:pPr>
      <w:r>
        <w:t xml:space="preserve">Languages included in this study will reflect the demographic profile of Canada Vancouver, including but not limited to:</w:t>
      </w:r>
    </w:p>
    <w:p>
      <w:pPr>
        <w:numPr>
          <w:ilvl w:val="0"/>
          <w:numId w:val="1002"/>
        </w:numPr>
        <w:pStyle w:val="Compact"/>
      </w:pPr>
      <w:r>
        <w:t xml:space="preserve">Mandarin Chinese</w:t>
      </w:r>
    </w:p>
    <w:p>
      <w:pPr>
        <w:numPr>
          <w:ilvl w:val="0"/>
          <w:numId w:val="1002"/>
        </w:numPr>
        <w:pStyle w:val="Compact"/>
      </w:pPr>
      <w:r>
        <w:t xml:space="preserve">Cantonese</w:t>
      </w:r>
    </w:p>
    <w:p>
      <w:pPr>
        <w:numPr>
          <w:ilvl w:val="0"/>
          <w:numId w:val="1002"/>
        </w:numPr>
        <w:pStyle w:val="Compact"/>
      </w:pPr>
      <w:r>
        <w:t xml:space="preserve">Punjabi</w:t>
      </w:r>
    </w:p>
    <w:p>
      <w:pPr>
        <w:numPr>
          <w:ilvl w:val="0"/>
          <w:numId w:val="1002"/>
        </w:numPr>
        <w:pStyle w:val="Compact"/>
      </w:pPr>
      <w:r>
        <w:t xml:space="preserve">Tagalog</w:t>
      </w:r>
    </w:p>
    <w:p>
      <w:pPr>
        <w:numPr>
          <w:ilvl w:val="0"/>
          <w:numId w:val="1002"/>
        </w:numPr>
        <w:pStyle w:val="Compact"/>
      </w:pPr>
      <w:r>
        <w:t xml:space="preserve">Korean</w:t>
      </w:r>
    </w:p>
    <w:p>
      <w:pPr>
        <w:numPr>
          <w:ilvl w:val="0"/>
          <w:numId w:val="1002"/>
        </w:numPr>
        <w:pStyle w:val="Compact"/>
      </w:pPr>
      <w:r>
        <w:t xml:space="preserve">Spanish</w:t>
      </w:r>
    </w:p>
    <w:p>
      <w:pPr>
        <w:numPr>
          <w:ilvl w:val="0"/>
          <w:numId w:val="1002"/>
        </w:numPr>
        <w:pStyle w:val="Compact"/>
      </w:pPr>
      <w:r>
        <w:t xml:space="preserve">French</w:t>
      </w:r>
    </w:p>
    <w:bookmarkEnd w:id="22"/>
    <w:bookmarkStart w:id="26" w:name="methodology"/>
    <w:p>
      <w:pPr>
        <w:pStyle w:val="Heading2"/>
      </w:pPr>
      <w:r>
        <w:t xml:space="preserve">4. Methodology</w:t>
      </w:r>
    </w:p>
    <w:bookmarkStart w:id="23" w:name="participants"/>
    <w:p>
      <w:pPr>
        <w:pStyle w:val="Heading3"/>
      </w:pPr>
      <w:r>
        <w:t xml:space="preserve">4.1 Participants</w:t>
      </w:r>
    </w:p>
    <w:p>
      <w:pPr>
        <w:pStyle w:val="FirstParagraph"/>
      </w:pPr>
      <w:r>
        <w:t xml:space="preserve">The experiment will involve:</w:t>
      </w:r>
    </w:p>
    <w:p>
      <w:pPr>
        <w:numPr>
          <w:ilvl w:val="0"/>
          <w:numId w:val="1003"/>
        </w:numPr>
        <w:pStyle w:val="Compact"/>
      </w:pPr>
      <w:r>
        <w:t xml:space="preserve">Certified Translator Interpreter professionals registered with recognized Canadian bodies.</w:t>
      </w:r>
    </w:p>
    <w:p>
      <w:pPr>
        <w:numPr>
          <w:ilvl w:val="0"/>
          <w:numId w:val="1003"/>
        </w:numPr>
        <w:pStyle w:val="Compact"/>
      </w:pPr>
      <w:r>
        <w:t xml:space="preserve">Community members from diverse linguistic backgrounds in Canada Vancouver.</w:t>
      </w:r>
    </w:p>
    <w:p>
      <w:pPr>
        <w:numPr>
          <w:ilvl w:val="0"/>
          <w:numId w:val="1003"/>
        </w:numPr>
        <w:pStyle w:val="Compact"/>
      </w:pPr>
      <w:r>
        <w:t xml:space="preserve">Service providers (hospitals, clinics, legal offices, municipal agencies) that utilize Translator Interpreter services.</w:t>
      </w:r>
    </w:p>
    <w:bookmarkEnd w:id="23"/>
    <w:bookmarkStart w:id="24" w:name="materials"/>
    <w:p>
      <w:pPr>
        <w:pStyle w:val="Heading3"/>
      </w:pPr>
      <w:r>
        <w:t xml:space="preserve">4.2 Materials</w:t>
      </w:r>
    </w:p>
    <w:p>
      <w:pPr>
        <w:pStyle w:val="FirstParagraph"/>
      </w:pPr>
      <w:r>
        <w:t xml:space="preserve">Standardized test materials will be developed, including:</w:t>
      </w:r>
    </w:p>
    <w:p>
      <w:pPr>
        <w:numPr>
          <w:ilvl w:val="0"/>
          <w:numId w:val="1004"/>
        </w:numPr>
        <w:pStyle w:val="Compact"/>
      </w:pPr>
      <w:r>
        <w:t xml:space="preserve">Medical consent forms and patient information leaflets.</w:t>
      </w:r>
    </w:p>
    <w:p>
      <w:pPr>
        <w:numPr>
          <w:ilvl w:val="0"/>
          <w:numId w:val="1004"/>
        </w:numPr>
        <w:pStyle w:val="Compact"/>
      </w:pPr>
      <w:r>
        <w:t xml:space="preserve">Legal documents such as tenant agreements and court notices.</w:t>
      </w:r>
    </w:p>
    <w:p>
      <w:pPr>
        <w:numPr>
          <w:ilvl w:val="0"/>
          <w:numId w:val="1004"/>
        </w:numPr>
        <w:pStyle w:val="Compact"/>
      </w:pPr>
      <w:r>
        <w:t xml:space="preserve">Municipal service brochures and public announcements.</w:t>
      </w:r>
    </w:p>
    <w:p>
      <w:pPr>
        <w:pStyle w:val="FirstParagraph"/>
      </w:pPr>
      <w:r>
        <w:t xml:space="preserve">These materials will be translated and interpreted by both human Translator Interpreter professionals and automated tools.</w:t>
      </w:r>
    </w:p>
    <w:bookmarkEnd w:id="24"/>
    <w:bookmarkStart w:id="25" w:name="procedure"/>
    <w:p>
      <w:pPr>
        <w:pStyle w:val="Heading3"/>
      </w:pPr>
      <w:r>
        <w:t xml:space="preserve">4.3 Procedure</w:t>
      </w:r>
    </w:p>
    <w:p>
      <w:pPr>
        <w:numPr>
          <w:ilvl w:val="0"/>
          <w:numId w:val="1005"/>
        </w:numPr>
        <w:pStyle w:val="Compact"/>
      </w:pPr>
      <w:r>
        <w:t xml:space="preserve">Recruit Translator Interpreter professionals and obtain informed consent from all participants.</w:t>
      </w:r>
    </w:p>
    <w:p>
      <w:pPr>
        <w:numPr>
          <w:ilvl w:val="0"/>
          <w:numId w:val="1005"/>
        </w:numPr>
        <w:pStyle w:val="Compact"/>
      </w:pPr>
      <w:r>
        <w:t xml:space="preserve">Provide standardized source texts in English to Translator Interpreter professionals and automated systems.</w:t>
      </w:r>
    </w:p>
    <w:p>
      <w:pPr>
        <w:numPr>
          <w:ilvl w:val="0"/>
          <w:numId w:val="1005"/>
        </w:numPr>
        <w:pStyle w:val="Compact"/>
      </w:pPr>
      <w:r>
        <w:t xml:space="preserve">Collect translated and interpreted outputs for each language pair.</w:t>
      </w:r>
    </w:p>
    <w:p>
      <w:pPr>
        <w:numPr>
          <w:ilvl w:val="0"/>
          <w:numId w:val="1005"/>
        </w:numPr>
        <w:pStyle w:val="Compact"/>
      </w:pPr>
      <w:r>
        <w:t xml:space="preserve">Have bilingual experts and community members in Canada Vancouver evaluate the outputs for accuracy, clarity, and cultural appropriateness.</w:t>
      </w:r>
    </w:p>
    <w:p>
      <w:pPr>
        <w:numPr>
          <w:ilvl w:val="0"/>
          <w:numId w:val="1005"/>
        </w:numPr>
        <w:pStyle w:val="Compact"/>
      </w:pPr>
      <w:r>
        <w:t xml:space="preserve">Conduct interviews and surveys with service users to assess their satisfaction and trust in Translator Interpreter services.</w:t>
      </w:r>
    </w:p>
    <w:bookmarkEnd w:id="25"/>
    <w:bookmarkEnd w:id="26"/>
    <w:bookmarkStart w:id="27" w:name="evaluation-criteria"/>
    <w:p>
      <w:pPr>
        <w:pStyle w:val="Heading2"/>
      </w:pPr>
      <w:r>
        <w:t xml:space="preserve">5. Evaluation Criteria</w:t>
      </w:r>
    </w:p>
    <w:p>
      <w:pPr>
        <w:pStyle w:val="FirstParagraph"/>
      </w:pPr>
      <w:r>
        <w:t xml:space="preserve">The quality of Translator Interpreter outputs will be assessed using the following criteria:</w:t>
      </w:r>
    </w:p>
    <w:p>
      <w:pPr>
        <w:numPr>
          <w:ilvl w:val="0"/>
          <w:numId w:val="1006"/>
        </w:numPr>
        <w:pStyle w:val="Compact"/>
      </w:pPr>
      <w:r>
        <w:rPr>
          <w:bCs/>
          <w:b/>
        </w:rPr>
        <w:t xml:space="preserve">Accuracy:</w:t>
      </w:r>
      <w:r>
        <w:t xml:space="preserve"> </w:t>
      </w:r>
      <w:r>
        <w:t xml:space="preserve">Faithfulness to the original meaning without omissions or additions.</w:t>
      </w:r>
    </w:p>
    <w:p>
      <w:pPr>
        <w:numPr>
          <w:ilvl w:val="0"/>
          <w:numId w:val="1006"/>
        </w:numPr>
        <w:pStyle w:val="Compact"/>
      </w:pPr>
      <w:r>
        <w:rPr>
          <w:bCs/>
          <w:b/>
        </w:rPr>
        <w:t xml:space="preserve">Clarity:</w:t>
      </w:r>
      <w:r>
        <w:t xml:space="preserve"> </w:t>
      </w:r>
      <w:r>
        <w:t xml:space="preserve">Readability and ease of understanding for the target audience.</w:t>
      </w:r>
    </w:p>
    <w:p>
      <w:pPr>
        <w:numPr>
          <w:ilvl w:val="0"/>
          <w:numId w:val="1006"/>
        </w:numPr>
        <w:pStyle w:val="Compact"/>
      </w:pPr>
      <w:r>
        <w:rPr>
          <w:bCs/>
          <w:b/>
        </w:rPr>
        <w:t xml:space="preserve">Cultural Appropriateness:</w:t>
      </w:r>
      <w:r>
        <w:t xml:space="preserve"> </w:t>
      </w:r>
      <w:r>
        <w:t xml:space="preserve">Sensitivity to cultural norms and values in Canada Vancouver.</w:t>
      </w:r>
    </w:p>
    <w:p>
      <w:pPr>
        <w:numPr>
          <w:ilvl w:val="0"/>
          <w:numId w:val="1006"/>
        </w:numPr>
        <w:pStyle w:val="Compact"/>
      </w:pPr>
      <w:r>
        <w:rPr>
          <w:bCs/>
          <w:b/>
        </w:rPr>
        <w:t xml:space="preserve">Terminology:</w:t>
      </w:r>
      <w:r>
        <w:t xml:space="preserve"> </w:t>
      </w:r>
      <w:r>
        <w:t xml:space="preserve">Correct use of domain-specific terms (medical, legal, administrative).</w:t>
      </w:r>
    </w:p>
    <w:p>
      <w:pPr>
        <w:numPr>
          <w:ilvl w:val="0"/>
          <w:numId w:val="1006"/>
        </w:numPr>
        <w:pStyle w:val="Compact"/>
      </w:pPr>
      <w:r>
        <w:rPr>
          <w:bCs/>
          <w:b/>
        </w:rPr>
        <w:t xml:space="preserve">Timeliness:</w:t>
      </w:r>
      <w:r>
        <w:t xml:space="preserve"> </w:t>
      </w:r>
      <w:r>
        <w:t xml:space="preserve">Speed of delivery in real-time interpretation and translation tasks.</w:t>
      </w:r>
    </w:p>
    <w:bookmarkEnd w:id="27"/>
    <w:bookmarkStart w:id="28" w:name="ethical-considerations"/>
    <w:p>
      <w:pPr>
        <w:pStyle w:val="Heading2"/>
      </w:pPr>
      <w:r>
        <w:t xml:space="preserve">6. Ethical Considerations</w:t>
      </w:r>
    </w:p>
    <w:p>
      <w:pPr>
        <w:pStyle w:val="FirstParagraph"/>
      </w:pPr>
      <w:r>
        <w:t xml:space="preserve">This Experiment Protocol adheres to Canadian ethical standards for research involving human participants. Key considerations include:</w:t>
      </w:r>
    </w:p>
    <w:p>
      <w:pPr>
        <w:numPr>
          <w:ilvl w:val="0"/>
          <w:numId w:val="1007"/>
        </w:numPr>
        <w:pStyle w:val="Compact"/>
      </w:pPr>
      <w:r>
        <w:t xml:space="preserve">Informed consent from all participants.</w:t>
      </w:r>
    </w:p>
    <w:p>
      <w:pPr>
        <w:numPr>
          <w:ilvl w:val="0"/>
          <w:numId w:val="1007"/>
        </w:numPr>
        <w:pStyle w:val="Compact"/>
      </w:pPr>
      <w:r>
        <w:t xml:space="preserve">Confidentiality and anonymity of personal data.</w:t>
      </w:r>
    </w:p>
    <w:p>
      <w:pPr>
        <w:numPr>
          <w:ilvl w:val="0"/>
          <w:numId w:val="1007"/>
        </w:numPr>
        <w:pStyle w:val="Compact"/>
      </w:pPr>
      <w:r>
        <w:t xml:space="preserve">Respect for cultural diversity and linguistic rights in Canada Vancouver.</w:t>
      </w:r>
    </w:p>
    <w:p>
      <w:pPr>
        <w:numPr>
          <w:ilvl w:val="0"/>
          <w:numId w:val="1007"/>
        </w:numPr>
        <w:pStyle w:val="Compact"/>
      </w:pPr>
      <w:r>
        <w:t xml:space="preserve">Compliance with privacy laws, including PIPEDA and BC’s Personal Information Protection Act.</w:t>
      </w:r>
    </w:p>
    <w:bookmarkEnd w:id="28"/>
    <w:bookmarkStart w:id="29" w:name="data-analysis"/>
    <w:p>
      <w:pPr>
        <w:pStyle w:val="Heading2"/>
      </w:pPr>
      <w:r>
        <w:t xml:space="preserve">7. Data Analysis</w:t>
      </w:r>
    </w:p>
    <w:p>
      <w:pPr>
        <w:pStyle w:val="FirstParagraph"/>
      </w:pPr>
      <w:r>
        <w:t xml:space="preserve">Quantitative data will be analyzed using statistical methods to compare accuracy scores, response times, and user satisfaction ratings across different Translator Interpreter services. Qualitative data from interviews and open-ended surveys will be thematically analyzed to identify recurring issues and recommendations.</w:t>
      </w:r>
    </w:p>
    <w:bookmarkEnd w:id="29"/>
    <w:bookmarkStart w:id="30" w:name="expected-outcomes"/>
    <w:p>
      <w:pPr>
        <w:pStyle w:val="Heading2"/>
      </w:pPr>
      <w:r>
        <w:t xml:space="preserve">8. Expected Outcomes</w:t>
      </w:r>
    </w:p>
    <w:p>
      <w:pPr>
        <w:pStyle w:val="FirstParagraph"/>
      </w:pPr>
      <w:r>
        <w:t xml:space="preserve">This experiment aims to:</w:t>
      </w:r>
    </w:p>
    <w:p>
      <w:pPr>
        <w:numPr>
          <w:ilvl w:val="0"/>
          <w:numId w:val="1008"/>
        </w:numPr>
        <w:pStyle w:val="Compact"/>
      </w:pPr>
      <w:r>
        <w:t xml:space="preserve">Provide evidence-based insights into the effectiveness of Translator Interpreter services in Canada Vancouver.</w:t>
      </w:r>
    </w:p>
    <w:p>
      <w:pPr>
        <w:numPr>
          <w:ilvl w:val="0"/>
          <w:numId w:val="1008"/>
        </w:numPr>
        <w:pStyle w:val="Compact"/>
      </w:pPr>
      <w:r>
        <w:t xml:space="preserve">Highlight best practices for training and certifying Translator Interpreter professionals.</w:t>
      </w:r>
    </w:p>
    <w:p>
      <w:pPr>
        <w:numPr>
          <w:ilvl w:val="0"/>
          <w:numId w:val="1008"/>
        </w:numPr>
        <w:pStyle w:val="Compact"/>
      </w:pPr>
      <w:r>
        <w:t xml:space="preserve">Offer recommendations for improving access to high-quality translation and interpretation services for marginalized communities.</w:t>
      </w:r>
    </w:p>
    <w:bookmarkEnd w:id="30"/>
    <w:bookmarkStart w:id="31" w:name="timeline"/>
    <w:p>
      <w:pPr>
        <w:pStyle w:val="Heading2"/>
      </w:pPr>
      <w:r>
        <w:t xml:space="preserve">9.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w:t>
            </w:r>
          </w:p>
        </w:tc>
      </w:tr>
      <w:tr>
        <w:tc>
          <w:tcPr/>
          <w:p>
            <w:pPr>
              <w:pStyle w:val="Compact"/>
              <w:jc w:val="left"/>
            </w:pPr>
            <w:r>
              <w:t xml:space="preserve">Preparation and Recruitment</w:t>
            </w:r>
          </w:p>
        </w:tc>
        <w:tc>
          <w:tcPr/>
          <w:p>
            <w:pPr>
              <w:pStyle w:val="Compact"/>
              <w:jc w:val="left"/>
            </w:pPr>
            <w:r>
              <w:t xml:space="preserve">4 weeks</w:t>
            </w:r>
          </w:p>
        </w:tc>
      </w:tr>
      <w:tr>
        <w:tc>
          <w:tcPr/>
          <w:p>
            <w:pPr>
              <w:pStyle w:val="Compact"/>
              <w:jc w:val="left"/>
            </w:pPr>
            <w:r>
              <w:t xml:space="preserve">Data Collection</w:t>
            </w:r>
          </w:p>
        </w:tc>
        <w:tc>
          <w:tcPr/>
          <w:p>
            <w:pPr>
              <w:pStyle w:val="Compact"/>
              <w:jc w:val="left"/>
            </w:pPr>
            <w:r>
              <w:t xml:space="preserve">8 weeks</w:t>
            </w:r>
          </w:p>
        </w:tc>
      </w:tr>
      <w:tr>
        <w:tc>
          <w:tcPr/>
          <w:p>
            <w:pPr>
              <w:pStyle w:val="Compact"/>
              <w:jc w:val="left"/>
            </w:pPr>
            <w:r>
              <w:t xml:space="preserve">Evaluation and Analysis</w:t>
            </w:r>
          </w:p>
        </w:tc>
        <w:tc>
          <w:tcPr/>
          <w:p>
            <w:pPr>
              <w:pStyle w:val="Compact"/>
              <w:jc w:val="left"/>
            </w:pPr>
            <w:r>
              <w:t xml:space="preserve">6 weeks</w:t>
            </w:r>
          </w:p>
        </w:tc>
      </w:tr>
      <w:tr>
        <w:tc>
          <w:tcPr/>
          <w:p>
            <w:pPr>
              <w:pStyle w:val="Compact"/>
              <w:jc w:val="left"/>
            </w:pPr>
            <w:r>
              <w:t xml:space="preserve">Reporting and Recommendations</w:t>
            </w:r>
          </w:p>
        </w:tc>
        <w:tc>
          <w:tcPr/>
          <w:p>
            <w:pPr>
              <w:pStyle w:val="Compact"/>
              <w:jc w:val="left"/>
            </w:pPr>
            <w:r>
              <w:t xml:space="preserve">4 weeks</w:t>
            </w:r>
          </w:p>
        </w:tc>
      </w:tr>
    </w:tbl>
    <w:bookmarkEnd w:id="31"/>
    <w:bookmarkStart w:id="32" w:name="conclusion"/>
    <w:p>
      <w:pPr>
        <w:pStyle w:val="Heading2"/>
      </w:pPr>
      <w:r>
        <w:t xml:space="preserve">10. Conclusion</w:t>
      </w:r>
    </w:p>
    <w:p>
      <w:pPr>
        <w:pStyle w:val="FirstParagraph"/>
      </w:pPr>
      <w:r>
        <w:t xml:space="preserve">This Experiment Protocol provides a structured approach to evaluating Translator Interpreter services in Canada Vancouver. By focusing on accuracy, cultural sensitivity, and user satisfaction, the study will contribute to improving communication across linguistic barriers and enhancing public service delivery in one of Canada’s most diverse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Canada Vancouver</dc:title>
  <dc:creator/>
  <dc:language>en</dc:language>
  <cp:keywords/>
  <dcterms:created xsi:type="dcterms:W3CDTF">2026-10-10T00:31:37Z</dcterms:created>
  <dcterms:modified xsi:type="dcterms:W3CDTF">2026-10-10T00:31:37Z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