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Shanghai</w:t>
      </w:r>
    </w:p>
    <w:bookmarkStart w:id="32" w:name="Xc5a495c92640191b47c75f4b72cb0f92a49214c"/>
    <w:p>
      <w:pPr>
        <w:pStyle w:val="Heading1"/>
      </w:pPr>
      <w:r>
        <w:t xml:space="preserve">Experiment Protocol: Translator Interpreter in China Shanghai</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ethical considerations for evaluating the performance of a Translator Interpreter system in the context of China Shanghai. Shanghai, as a global financial hub and cultural center, presents a unique linguistic environment characterized by the coexistence of Mandarin Chinese, Shanghainese dialect, and English. The Translator Interpreter system under evaluation is designed to facilitate real-time communication across these languages, supporting both spoken and written modalities.</w:t>
      </w:r>
    </w:p>
    <w:p>
      <w:pPr>
        <w:pStyle w:val="BodyText"/>
      </w:pPr>
      <w:r>
        <w:t xml:space="preserve">The primary objective of this experiment is to assess the accuracy, fluency, cultural appropriateness, and latency of the Translator Interpreter system in real-world scenarios typical of Shanghai’s business, tourism, and public service environments. This protocol ensures that the evaluation is conducted systematically, ethically, and in compliance with local regulations in China Shanghai.</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translation accuracy of the Translator Interpreter system across Mandarin Chinese, Shanghainese, and English.</w:t>
      </w:r>
    </w:p>
    <w:p>
      <w:pPr>
        <w:numPr>
          <w:ilvl w:val="0"/>
          <w:numId w:val="1001"/>
        </w:numPr>
        <w:pStyle w:val="Compact"/>
      </w:pPr>
      <w:r>
        <w:t xml:space="preserve">To evaluate the system’s ability to handle domain-specific terminology relevant to Shanghai’s business and tourism sectors.</w:t>
      </w:r>
    </w:p>
    <w:p>
      <w:pPr>
        <w:numPr>
          <w:ilvl w:val="0"/>
          <w:numId w:val="1001"/>
        </w:numPr>
        <w:pStyle w:val="Compact"/>
      </w:pPr>
      <w:r>
        <w:t xml:space="preserve">To assess user satisfaction and perceived reliability among native speakers in China Shanghai.</w:t>
      </w:r>
    </w:p>
    <w:p>
      <w:pPr>
        <w:numPr>
          <w:ilvl w:val="0"/>
          <w:numId w:val="1001"/>
        </w:numPr>
        <w:pStyle w:val="Compact"/>
      </w:pPr>
      <w:r>
        <w:t xml:space="preserve">To analyze the system’s latency and robustness in noisy urban environments typical of Shanghai.</w:t>
      </w:r>
    </w:p>
    <w:p>
      <w:pPr>
        <w:numPr>
          <w:ilvl w:val="0"/>
          <w:numId w:val="1001"/>
        </w:numPr>
        <w:pStyle w:val="Compact"/>
      </w:pPr>
      <w:r>
        <w:t xml:space="preserve">To ensure compliance with data privacy and ethical standards in China Shanghai.</w:t>
      </w:r>
    </w:p>
    <w:bookmarkEnd w:id="21"/>
    <w:bookmarkStart w:id="22" w:name="scope-and-context"/>
    <w:p>
      <w:pPr>
        <w:pStyle w:val="Heading2"/>
      </w:pPr>
      <w:r>
        <w:t xml:space="preserve">3. Scope and Context</w:t>
      </w:r>
    </w:p>
    <w:p>
      <w:pPr>
        <w:pStyle w:val="FirstParagraph"/>
      </w:pPr>
      <w:r>
        <w:t xml:space="preserve">This experiment will be conducted exclusively in China Shanghai, focusing on locations that reflect the city’s linguistic diversity and international engagement. Selected sites include Pudong New Area business districts, Shanghai Hongqiao International Airport, Shanghai Museum, and selected public transportation hubs. The Translator Interpreter system will be tested in both controlled laboratory settings and uncontrolled real-world environments to capture a comprehensive performance profile.</w:t>
      </w:r>
    </w:p>
    <w:bookmarkEnd w:id="22"/>
    <w:bookmarkStart w:id="23" w:name="participants"/>
    <w:p>
      <w:pPr>
        <w:pStyle w:val="Heading2"/>
      </w:pPr>
      <w:r>
        <w:t xml:space="preserve">4. Participants</w:t>
      </w:r>
    </w:p>
    <w:p>
      <w:pPr>
        <w:pStyle w:val="FirstParagraph"/>
      </w:pPr>
      <w:r>
        <w:t xml:space="preserve">Participants will include native speakers of Mandarin Chinese, Shanghainese, and English residing in or visiting China Shanghai. A minimum of 120 participants will be recruited, evenly distributed across language groups. Participants will be selected to represent diverse age groups, professions, and levels of language proficiency. Informed consent will be obtained from all participants prior to their involvement in the experiment.</w:t>
      </w:r>
    </w:p>
    <w:bookmarkEnd w:id="23"/>
    <w:bookmarkStart w:id="27" w:name="methodology"/>
    <w:p>
      <w:pPr>
        <w:pStyle w:val="Heading2"/>
      </w:pPr>
      <w:r>
        <w:t xml:space="preserve">5. Methodology</w:t>
      </w:r>
    </w:p>
    <w:bookmarkStart w:id="24" w:name="experimental-design"/>
    <w:p>
      <w:pPr>
        <w:pStyle w:val="Heading3"/>
      </w:pPr>
      <w:r>
        <w:t xml:space="preserve">5.1 Experimental Design</w:t>
      </w:r>
    </w:p>
    <w:p>
      <w:pPr>
        <w:pStyle w:val="FirstParagraph"/>
      </w:pPr>
      <w:r>
        <w:t xml:space="preserve">The experiment will employ a mixed-methods approach, combining quantitative metrics (e.g., translation accuracy scores, latency measurements) with qualitative feedback (e.g., user satisfaction surveys, open-ended comments). The Translator Interpreter system will be evaluated through simulated dialogues, real-time interpretation tasks, and written translation exercises.</w:t>
      </w:r>
    </w:p>
    <w:bookmarkEnd w:id="24"/>
    <w:bookmarkStart w:id="25" w:name="tasks-and-scenarios"/>
    <w:p>
      <w:pPr>
        <w:pStyle w:val="Heading3"/>
      </w:pPr>
      <w:r>
        <w:t xml:space="preserve">5.2 Tasks and Scenarios</w:t>
      </w:r>
    </w:p>
    <w:p>
      <w:pPr>
        <w:pStyle w:val="FirstParagraph"/>
      </w:pPr>
      <w:r>
        <w:t xml:space="preserve">Participants will engage in the following tasks:</w:t>
      </w:r>
    </w:p>
    <w:p>
      <w:pPr>
        <w:numPr>
          <w:ilvl w:val="0"/>
          <w:numId w:val="1002"/>
        </w:numPr>
        <w:pStyle w:val="Compact"/>
      </w:pPr>
      <w:r>
        <w:t xml:space="preserve">Business Negotiation Simulation: Role-play scenarios involving trade discussions, contract terms, and cultural etiquette.</w:t>
      </w:r>
    </w:p>
    <w:p>
      <w:pPr>
        <w:numPr>
          <w:ilvl w:val="0"/>
          <w:numId w:val="1002"/>
        </w:numPr>
        <w:pStyle w:val="Compact"/>
      </w:pPr>
      <w:r>
        <w:t xml:space="preserve">Tourism Assistance: Interactions related to hotel check-in, restaurant ordering, and sightseeing inquiries.</w:t>
      </w:r>
    </w:p>
    <w:p>
      <w:pPr>
        <w:numPr>
          <w:ilvl w:val="0"/>
          <w:numId w:val="1002"/>
        </w:numPr>
        <w:pStyle w:val="Compact"/>
      </w:pPr>
      <w:r>
        <w:t xml:space="preserve">Public Service Communication: Simulated interactions with healthcare providers, transportation staff, and government officials.</w:t>
      </w:r>
    </w:p>
    <w:bookmarkEnd w:id="25"/>
    <w:bookmarkStart w:id="26" w:name="data-collection"/>
    <w:p>
      <w:pPr>
        <w:pStyle w:val="Heading3"/>
      </w:pPr>
      <w:r>
        <w:t xml:space="preserve">5.3 Data Collection</w:t>
      </w:r>
    </w:p>
    <w:p>
      <w:pPr>
        <w:pStyle w:val="FirstParagraph"/>
      </w:pPr>
      <w:r>
        <w:t xml:space="preserve">Data will be collected using audio recordings, screen captures, and participant questionnaires. All recordings will be anonymized and stored securely in compliance with China Shanghai’s data protection regulations.</w:t>
      </w:r>
    </w:p>
    <w:bookmarkEnd w:id="26"/>
    <w:bookmarkEnd w:id="27"/>
    <w:bookmarkStart w:id="28" w:name="evaluation-criteria"/>
    <w:p>
      <w:pPr>
        <w:pStyle w:val="Heading2"/>
      </w:pPr>
      <w:r>
        <w:t xml:space="preserve">6.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Accuracy</w:t>
            </w:r>
          </w:p>
        </w:tc>
        <w:tc>
          <w:tcPr/>
          <w:p>
            <w:pPr>
              <w:pStyle w:val="Compact"/>
              <w:jc w:val="left"/>
            </w:pPr>
            <w:r>
              <w:t xml:space="preserve">Correctness of translated content</w:t>
            </w:r>
          </w:p>
        </w:tc>
        <w:tc>
          <w:tcPr/>
          <w:p>
            <w:pPr>
              <w:pStyle w:val="Compact"/>
              <w:jc w:val="left"/>
            </w:pPr>
            <w:r>
              <w:t xml:space="preserve">Expert review and automated scoring</w:t>
            </w:r>
          </w:p>
        </w:tc>
      </w:tr>
      <w:tr>
        <w:tc>
          <w:tcPr/>
          <w:p>
            <w:pPr>
              <w:pStyle w:val="Compact"/>
              <w:jc w:val="left"/>
            </w:pPr>
            <w:r>
              <w:t xml:space="preserve">Fluency</w:t>
            </w:r>
          </w:p>
        </w:tc>
        <w:tc>
          <w:tcPr/>
          <w:p>
            <w:pPr>
              <w:pStyle w:val="Compact"/>
              <w:jc w:val="left"/>
            </w:pPr>
            <w:r>
              <w:t xml:space="preserve">Naturalness and coherence of output</w:t>
            </w:r>
          </w:p>
        </w:tc>
        <w:tc>
          <w:tcPr/>
          <w:p>
            <w:pPr>
              <w:pStyle w:val="Compact"/>
              <w:jc w:val="left"/>
            </w:pPr>
            <w:r>
              <w:t xml:space="preserve">Participant ratings and linguistic analysis</w:t>
            </w:r>
          </w:p>
        </w:tc>
      </w:tr>
      <w:tr>
        <w:tc>
          <w:tcPr/>
          <w:p>
            <w:pPr>
              <w:pStyle w:val="Compact"/>
              <w:jc w:val="left"/>
            </w:pPr>
            <w:r>
              <w:t xml:space="preserve">Latency</w:t>
            </w:r>
          </w:p>
        </w:tc>
        <w:tc>
          <w:tcPr/>
          <w:p>
            <w:pPr>
              <w:pStyle w:val="Compact"/>
              <w:jc w:val="left"/>
            </w:pPr>
            <w:r>
              <w:t xml:space="preserve">Time delay between input and output</w:t>
            </w:r>
          </w:p>
        </w:tc>
        <w:tc>
          <w:tcPr/>
          <w:p>
            <w:pPr>
              <w:pStyle w:val="Compact"/>
              <w:jc w:val="left"/>
            </w:pPr>
            <w:r>
              <w:t xml:space="preserve">System logs and timing tools</w:t>
            </w:r>
          </w:p>
        </w:tc>
      </w:tr>
      <w:tr>
        <w:tc>
          <w:tcPr/>
          <w:p>
            <w:pPr>
              <w:pStyle w:val="Compact"/>
              <w:jc w:val="left"/>
            </w:pPr>
            <w:r>
              <w:t xml:space="preserve">Cultural Appropriateness</w:t>
            </w:r>
          </w:p>
        </w:tc>
        <w:tc>
          <w:tcPr/>
          <w:p>
            <w:pPr>
              <w:pStyle w:val="Compact"/>
              <w:jc w:val="left"/>
            </w:pPr>
            <w:r>
              <w:t xml:space="preserve">Sensitivity to local norms and idioms</w:t>
            </w:r>
          </w:p>
        </w:tc>
        <w:tc>
          <w:tcPr/>
          <w:p>
            <w:pPr>
              <w:pStyle w:val="Compact"/>
              <w:jc w:val="left"/>
            </w:pPr>
            <w:r>
              <w:t xml:space="preserve">Expert review and participant feedback</w:t>
            </w:r>
          </w:p>
        </w:tc>
      </w:tr>
      <w:tr>
        <w:tc>
          <w:tcPr/>
          <w:p>
            <w:pPr>
              <w:pStyle w:val="Compact"/>
              <w:jc w:val="left"/>
            </w:pPr>
            <w:r>
              <w:t xml:space="preserve">User Satisfaction</w:t>
            </w:r>
          </w:p>
        </w:tc>
        <w:tc>
          <w:tcPr/>
          <w:p>
            <w:pPr>
              <w:pStyle w:val="Compact"/>
              <w:jc w:val="left"/>
            </w:pPr>
            <w:r>
              <w:t xml:space="preserve">Overall user experience</w:t>
            </w:r>
          </w:p>
        </w:tc>
        <w:tc>
          <w:tcPr/>
          <w:p>
            <w:pPr>
              <w:pStyle w:val="Compact"/>
              <w:jc w:val="left"/>
            </w:pPr>
            <w:r>
              <w:t xml:space="preserve">Post-task surveys</w:t>
            </w:r>
          </w:p>
        </w:tc>
      </w:tr>
    </w:tbl>
    <w:bookmarkEnd w:id="28"/>
    <w:bookmarkStart w:id="29" w:name="ethical-considerations"/>
    <w:p>
      <w:pPr>
        <w:pStyle w:val="Heading2"/>
      </w:pPr>
      <w:r>
        <w:t xml:space="preserve">7. Ethical Considerations</w:t>
      </w:r>
    </w:p>
    <w:p>
      <w:pPr>
        <w:pStyle w:val="FirstParagraph"/>
      </w:pPr>
      <w:r>
        <w:t xml:space="preserve">This experiment adheres to ethical guidelines for human subject research in China Shanghai. Key considerations include:</w:t>
      </w:r>
    </w:p>
    <w:p>
      <w:pPr>
        <w:numPr>
          <w:ilvl w:val="0"/>
          <w:numId w:val="1003"/>
        </w:numPr>
        <w:pStyle w:val="Compact"/>
      </w:pPr>
      <w:r>
        <w:t xml:space="preserve">Informed consent: Participants will be fully informed about the purpose, procedures, risks, and benefits of the study.</w:t>
      </w:r>
    </w:p>
    <w:p>
      <w:pPr>
        <w:numPr>
          <w:ilvl w:val="0"/>
          <w:numId w:val="1003"/>
        </w:numPr>
        <w:pStyle w:val="Compact"/>
      </w:pPr>
      <w:r>
        <w:t xml:space="preserve">Confidentiality: All personal data and recordings will be anonymized and stored securely.</w:t>
      </w:r>
    </w:p>
    <w:p>
      <w:pPr>
        <w:numPr>
          <w:ilvl w:val="0"/>
          <w:numId w:val="1003"/>
        </w:numPr>
        <w:pStyle w:val="Compact"/>
      </w:pPr>
      <w:r>
        <w:t xml:space="preserve">Voluntary participation: Participants may withdraw at any time without penalty.</w:t>
      </w:r>
    </w:p>
    <w:p>
      <w:pPr>
        <w:numPr>
          <w:ilvl w:val="0"/>
          <w:numId w:val="1003"/>
        </w:numPr>
        <w:pStyle w:val="Compact"/>
      </w:pPr>
      <w:r>
        <w:t xml:space="preserve">Compliance: The study will comply with local laws and regulations in China Shanghai, including data privacy and intellectual property laws.</w:t>
      </w:r>
    </w:p>
    <w:bookmarkEnd w:id="29"/>
    <w:bookmarkStart w:id="30" w:name="timeline"/>
    <w:p>
      <w:pPr>
        <w:pStyle w:val="Heading2"/>
      </w:pPr>
      <w:r>
        <w:t xml:space="preserve">8. Timeline</w:t>
      </w:r>
    </w:p>
    <w:p>
      <w:pPr>
        <w:numPr>
          <w:ilvl w:val="0"/>
          <w:numId w:val="1004"/>
        </w:numPr>
        <w:pStyle w:val="Compact"/>
      </w:pPr>
      <w:r>
        <w:t xml:space="preserve">Week 1-2: Preparation and recruitment of participants in China Shanghai.</w:t>
      </w:r>
    </w:p>
    <w:p>
      <w:pPr>
        <w:numPr>
          <w:ilvl w:val="0"/>
          <w:numId w:val="1004"/>
        </w:numPr>
        <w:pStyle w:val="Compact"/>
      </w:pPr>
      <w:r>
        <w:t xml:space="preserve">Week 3-6: Data collection through controlled and real-world tasks.</w:t>
      </w:r>
    </w:p>
    <w:p>
      <w:pPr>
        <w:numPr>
          <w:ilvl w:val="0"/>
          <w:numId w:val="1004"/>
        </w:numPr>
        <w:pStyle w:val="Compact"/>
      </w:pPr>
      <w:r>
        <w:t xml:space="preserve">Week 7-8: Data analysis and evaluation of the Translator Interpreter system.</w:t>
      </w:r>
    </w:p>
    <w:p>
      <w:pPr>
        <w:numPr>
          <w:ilvl w:val="0"/>
          <w:numId w:val="1004"/>
        </w:numPr>
        <w:pStyle w:val="Compact"/>
      </w:pPr>
      <w:r>
        <w:t xml:space="preserve">Week 9: Reporting and dissemination of findings.</w:t>
      </w:r>
    </w:p>
    <w:bookmarkEnd w:id="30"/>
    <w:bookmarkStart w:id="31" w:name="conclusion"/>
    <w:p>
      <w:pPr>
        <w:pStyle w:val="Heading2"/>
      </w:pPr>
      <w:r>
        <w:t xml:space="preserve">9. Conclusion</w:t>
      </w:r>
    </w:p>
    <w:p>
      <w:pPr>
        <w:pStyle w:val="FirstParagraph"/>
      </w:pPr>
      <w:r>
        <w:t xml:space="preserve">This Experiment Protocol provides a structured framework for evaluating the Translator Interpreter system in the unique linguistic and cultural context of China Shanghai. By adhering to rigorous methodological and ethical standards, this study aims to generate actionable insights that will enhance the system’s performance and usability for diverse users in Shanghai and beyond.</w:t>
      </w:r>
    </w:p>
    <w:bookmarkEnd w:id="31"/>
    <w:p>
      <w:pPr>
        <w:pStyle w:val="BodyText"/>
      </w:pPr>
      <w:r>
        <w:t xml:space="preserve">Document Version: 1.0 | Date: October 2025 | Location: China Shanghai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China Shanghai</dc:title>
  <dc:creator/>
  <dc:language>en</dc:language>
  <cp:keywords/>
  <dcterms:created xsi:type="dcterms:W3CDTF">2026-10-10T05:04:11Z</dcterms:created>
  <dcterms:modified xsi:type="dcterms:W3CDTF">2026-10-10T05:04:11Z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