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Medellín</w:t>
      </w:r>
    </w:p>
    <w:bookmarkStart w:id="20" w:name="X4876cd948607182e0e1795e709cc23905b316a4"/>
    <w:p>
      <w:pPr>
        <w:pStyle w:val="Heading1"/>
      </w:pPr>
      <w:r>
        <w:t xml:space="preserve">Experiment Protocol: Translator Interpreter in Colombia Medellín</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Medellín, Colombia</w:t>
      </w:r>
      <w:r>
        <w:br/>
      </w:r>
      <w:r>
        <w:rPr>
          <w:bCs/>
          <w:b/>
        </w:rPr>
        <w:t xml:space="preserve">Principal Investigator:</w:t>
      </w:r>
      <w:r>
        <w:t xml:space="preserve"> </w:t>
      </w:r>
      <w:r>
        <w:t xml:space="preserve">[Name]</w:t>
      </w:r>
      <w:r>
        <w:br/>
      </w:r>
      <w:r>
        <w:rPr>
          <w:bCs/>
          <w:b/>
        </w:rPr>
        <w:t xml:space="preserve">Institution:</w:t>
      </w:r>
      <w:r>
        <w:t xml:space="preserve"> </w:t>
      </w:r>
      <w:r>
        <w:t xml:space="preserve">[Institution Name]</w:t>
      </w:r>
    </w:p>
    <w:bookmarkEnd w:id="20"/>
    <w:bookmarkStart w:id="21" w:name="introduction"/>
    <w:p>
      <w:pPr>
        <w:pStyle w:val="Heading2"/>
      </w:pPr>
      <w:r>
        <w:t xml:space="preserve">1. Introduction</w:t>
      </w:r>
    </w:p>
    <w:p>
      <w:pPr>
        <w:pStyle w:val="FirstParagraph"/>
      </w:pPr>
      <w:r>
        <w:t xml:space="preserve">This Experiment Protocol outlines the methodology and procedures for evaluating the performance of a Translator Interpreter system in the context of Colombia Medellín. The primary objective is to assess the accuracy, fluency, and cultural appropriateness of the Translator Interpreter when facilitating communication between Spanish speakers in Medellín and speakers of other languages, particularly English. Medellín, known for its vibrant culture and rapid technological advancement, presents a unique linguistic environment that includes regional dialects, slang, and cultural nuances. This experiment aims to determine how well the Translator Interpreter can handle these complexities in real-world scenarios.</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evaluate the accuracy of translations provided by the Translator Interpreter in both Spanish-to-English and English-to-Spanish directions.</w:t>
      </w:r>
    </w:p>
    <w:p>
      <w:pPr>
        <w:numPr>
          <w:ilvl w:val="0"/>
          <w:numId w:val="1001"/>
        </w:numPr>
        <w:pStyle w:val="Compact"/>
      </w:pPr>
      <w:r>
        <w:t xml:space="preserve">To assess the system's ability to understand and generate Medellín-specific slang and colloquialisms.</w:t>
      </w:r>
    </w:p>
    <w:p>
      <w:pPr>
        <w:numPr>
          <w:ilvl w:val="0"/>
          <w:numId w:val="1001"/>
        </w:numPr>
        <w:pStyle w:val="Compact"/>
      </w:pPr>
      <w:r>
        <w:t xml:space="preserve">To measure the fluency and naturalness of the translated speech or text.</w:t>
      </w:r>
    </w:p>
    <w:p>
      <w:pPr>
        <w:numPr>
          <w:ilvl w:val="0"/>
          <w:numId w:val="1001"/>
        </w:numPr>
        <w:pStyle w:val="Compact"/>
      </w:pPr>
      <w:r>
        <w:t xml:space="preserve">To determine the cultural appropriateness of translations in various contexts, including business, tourism, and healthcare.</w:t>
      </w:r>
    </w:p>
    <w:p>
      <w:pPr>
        <w:numPr>
          <w:ilvl w:val="0"/>
          <w:numId w:val="1001"/>
        </w:numPr>
        <w:pStyle w:val="Compact"/>
      </w:pPr>
      <w:r>
        <w:t xml:space="preserve">To gather user feedback on the usability and reliability of the Translator Interpreter in Medellín.</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two groups of participants:</w:t>
      </w:r>
    </w:p>
    <w:p>
      <w:pPr>
        <w:numPr>
          <w:ilvl w:val="0"/>
          <w:numId w:val="1002"/>
        </w:numPr>
        <w:pStyle w:val="Compact"/>
      </w:pPr>
      <w:r>
        <w:rPr>
          <w:bCs/>
          <w:b/>
        </w:rPr>
        <w:t xml:space="preserve">Local Participants:</w:t>
      </w:r>
      <w:r>
        <w:t xml:space="preserve"> </w:t>
      </w:r>
      <w:r>
        <w:t xml:space="preserve">Native Spanish speakers from Medellín, familiar with local dialects and cultural references.</w:t>
      </w:r>
    </w:p>
    <w:p>
      <w:pPr>
        <w:numPr>
          <w:ilvl w:val="0"/>
          <w:numId w:val="1002"/>
        </w:numPr>
        <w:pStyle w:val="Compact"/>
      </w:pPr>
      <w:r>
        <w:rPr>
          <w:bCs/>
          <w:b/>
        </w:rPr>
        <w:t xml:space="preserve">Non-Local Participants:</w:t>
      </w:r>
      <w:r>
        <w:t xml:space="preserve"> </w:t>
      </w:r>
      <w:r>
        <w:t xml:space="preserve">Speakers of other languages (primarily English) who are visiting or residing in Medellín.</w:t>
      </w:r>
    </w:p>
    <w:p>
      <w:pPr>
        <w:pStyle w:val="FirstParagraph"/>
      </w:pPr>
      <w:r>
        <w:t xml:space="preserve">A total of 50 participants will be recruited, with 25 in each group. Participants will be selected through local universities, community centers, and online platforms.</w:t>
      </w:r>
    </w:p>
    <w:bookmarkEnd w:id="23"/>
    <w:bookmarkStart w:id="24" w:name="materials"/>
    <w:p>
      <w:pPr>
        <w:pStyle w:val="Heading3"/>
      </w:pPr>
      <w:r>
        <w:t xml:space="preserve">3.2 Materials</w:t>
      </w:r>
    </w:p>
    <w:p>
      <w:pPr>
        <w:pStyle w:val="FirstParagraph"/>
      </w:pPr>
      <w:r>
        <w:t xml:space="preserve">The following materials will be used:</w:t>
      </w:r>
    </w:p>
    <w:p>
      <w:pPr>
        <w:numPr>
          <w:ilvl w:val="0"/>
          <w:numId w:val="1003"/>
        </w:numPr>
        <w:pStyle w:val="Compact"/>
      </w:pPr>
      <w:r>
        <w:t xml:space="preserve">The Translator Interpreter system (software or hardware).</w:t>
      </w:r>
    </w:p>
    <w:p>
      <w:pPr>
        <w:numPr>
          <w:ilvl w:val="0"/>
          <w:numId w:val="1003"/>
        </w:numPr>
        <w:pStyle w:val="Compact"/>
      </w:pPr>
      <w:r>
        <w:t xml:space="preserve">A set of standardized dialogues and scenarios relevant to Medellín (e.g., ordering food, asking for directions, medical consultations).</w:t>
      </w:r>
    </w:p>
    <w:p>
      <w:pPr>
        <w:numPr>
          <w:ilvl w:val="0"/>
          <w:numId w:val="1003"/>
        </w:numPr>
        <w:pStyle w:val="Compact"/>
      </w:pPr>
      <w:r>
        <w:t xml:space="preserve">Recording devices to capture interactions.</w:t>
      </w:r>
    </w:p>
    <w:p>
      <w:pPr>
        <w:numPr>
          <w:ilvl w:val="0"/>
          <w:numId w:val="1003"/>
        </w:numPr>
        <w:pStyle w:val="Compact"/>
      </w:pPr>
      <w:r>
        <w:t xml:space="preserve">Questionnaires for collecting user feedback.</w:t>
      </w:r>
    </w:p>
    <w:bookmarkEnd w:id="24"/>
    <w:bookmarkStart w:id="25" w:name="procedure"/>
    <w:p>
      <w:pPr>
        <w:pStyle w:val="Heading3"/>
      </w:pPr>
      <w:r>
        <w:t xml:space="preserve">3.3 Procedure</w:t>
      </w:r>
    </w:p>
    <w:p>
      <w:pPr>
        <w:pStyle w:val="FirstParagraph"/>
      </w:pPr>
      <w:r>
        <w:t xml:space="preserve">The experiment will be conducted in three phases:</w:t>
      </w:r>
    </w:p>
    <w:p>
      <w:pPr>
        <w:numPr>
          <w:ilvl w:val="0"/>
          <w:numId w:val="1004"/>
        </w:numPr>
        <w:pStyle w:val="Compact"/>
      </w:pPr>
      <w:r>
        <w:rPr>
          <w:bCs/>
          <w:b/>
        </w:rPr>
        <w:t xml:space="preserve">Preparation Phase:</w:t>
      </w:r>
      <w:r>
        <w:t xml:space="preserve"> </w:t>
      </w:r>
      <w:r>
        <w:t xml:space="preserve">Participants will be briefed on the experiment's purpose and procedures. They will be provided with consent forms to sign.</w:t>
      </w:r>
    </w:p>
    <w:p>
      <w:pPr>
        <w:numPr>
          <w:ilvl w:val="0"/>
          <w:numId w:val="1004"/>
        </w:numPr>
        <w:pStyle w:val="Compact"/>
      </w:pPr>
      <w:r>
        <w:rPr>
          <w:bCs/>
          <w:b/>
        </w:rPr>
        <w:t xml:space="preserve">Testing Phase:</w:t>
      </w:r>
      <w:r>
        <w:t xml:space="preserve"> </w:t>
      </w:r>
      <w:r>
        <w:t xml:space="preserve">Participants will engage in simulated conversations using the Translator Interpreter. Each conversation will be recorded for later analysis. Scenarios will include both formal and informal contexts.</w:t>
      </w:r>
    </w:p>
    <w:p>
      <w:pPr>
        <w:numPr>
          <w:ilvl w:val="0"/>
          <w:numId w:val="1004"/>
        </w:numPr>
        <w:pStyle w:val="Compact"/>
      </w:pPr>
      <w:r>
        <w:rPr>
          <w:bCs/>
          <w:b/>
        </w:rPr>
        <w:t xml:space="preserve">Feedback Phase:</w:t>
      </w:r>
      <w:r>
        <w:t xml:space="preserve"> </w:t>
      </w:r>
      <w:r>
        <w:t xml:space="preserve">Participants will complete questionnaires assessing their experience with the Translator Interpreter. They will rate the system's accuracy, fluency, and cultural appropriateness.</w:t>
      </w:r>
    </w:p>
    <w:bookmarkEnd w:id="25"/>
    <w:bookmarkEnd w:id="26"/>
    <w:bookmarkStart w:id="27" w:name="data-analysis"/>
    <w:p>
      <w:pPr>
        <w:pStyle w:val="Heading2"/>
      </w:pPr>
      <w:r>
        <w:t xml:space="preserve">4. Data Analysis</w:t>
      </w:r>
    </w:p>
    <w:p>
      <w:pPr>
        <w:pStyle w:val="FirstParagraph"/>
      </w:pPr>
      <w:r>
        <w:t xml:space="preserve">Data collected from the experiment will be analyzed using both quantitative and qualitative methods:</w:t>
      </w:r>
    </w:p>
    <w:p>
      <w:pPr>
        <w:numPr>
          <w:ilvl w:val="0"/>
          <w:numId w:val="1005"/>
        </w:numPr>
        <w:pStyle w:val="Compact"/>
      </w:pPr>
      <w:r>
        <w:rPr>
          <w:bCs/>
          <w:b/>
        </w:rPr>
        <w:t xml:space="preserve">Quantitative Analysis:</w:t>
      </w:r>
      <w:r>
        <w:t xml:space="preserve"> </w:t>
      </w:r>
      <w:r>
        <w:t xml:space="preserve">Accuracy scores will be calculated by comparing the Translator Interpreter's output with reference translations provided by professional human translators. Fluency and naturalness will be rated on a Likert scale.</w:t>
      </w:r>
    </w:p>
    <w:p>
      <w:pPr>
        <w:numPr>
          <w:ilvl w:val="0"/>
          <w:numId w:val="1005"/>
        </w:numPr>
        <w:pStyle w:val="Compact"/>
      </w:pPr>
      <w:r>
        <w:rPr>
          <w:bCs/>
          <w:b/>
        </w:rPr>
        <w:t xml:space="preserve">Qualitative Analysis:</w:t>
      </w:r>
      <w:r>
        <w:t xml:space="preserve"> </w:t>
      </w:r>
      <w:r>
        <w:t xml:space="preserve">Recorded interactions will be reviewed to identify specific instances of mistranslation, cultural insensitivity, or inappropriate language use. User feedback will be analyzed to identify common themes and areas for improvement.</w:t>
      </w:r>
    </w:p>
    <w:bookmarkEnd w:id="27"/>
    <w:bookmarkStart w:id="28" w:name="ethical-considerations"/>
    <w:p>
      <w:pPr>
        <w:pStyle w:val="Heading2"/>
      </w:pPr>
      <w:r>
        <w:t xml:space="preserve">5. Ethical Considerations</w:t>
      </w:r>
    </w:p>
    <w:p>
      <w:pPr>
        <w:pStyle w:val="FirstParagraph"/>
      </w:pPr>
      <w:r>
        <w:t xml:space="preserve">The experiment will adhere to the following ethical guidelines:</w:t>
      </w:r>
    </w:p>
    <w:p>
      <w:pPr>
        <w:numPr>
          <w:ilvl w:val="0"/>
          <w:numId w:val="1006"/>
        </w:numPr>
        <w:pStyle w:val="Compact"/>
      </w:pPr>
      <w:r>
        <w:t xml:space="preserve">Informed consent will be obtained from all participants.</w:t>
      </w:r>
    </w:p>
    <w:p>
      <w:pPr>
        <w:numPr>
          <w:ilvl w:val="0"/>
          <w:numId w:val="1006"/>
        </w:numPr>
        <w:pStyle w:val="Compact"/>
      </w:pPr>
      <w:r>
        <w:t xml:space="preserve">Participants' identities will be kept confidential.</w:t>
      </w:r>
    </w:p>
    <w:p>
      <w:pPr>
        <w:numPr>
          <w:ilvl w:val="0"/>
          <w:numId w:val="1006"/>
        </w:numPr>
        <w:pStyle w:val="Compact"/>
      </w:pPr>
      <w:r>
        <w:t xml:space="preserve">Participants will be free to withdraw from the experiment at any time without penalty.</w:t>
      </w:r>
    </w:p>
    <w:p>
      <w:pPr>
        <w:numPr>
          <w:ilvl w:val="0"/>
          <w:numId w:val="1006"/>
        </w:numPr>
        <w:pStyle w:val="Compact"/>
      </w:pPr>
      <w:r>
        <w:t xml:space="preserve">Data will be stored securely and used solely for the purposes of this experiment.</w:t>
      </w:r>
    </w:p>
    <w:bookmarkEnd w:id="28"/>
    <w:bookmarkStart w:id="29" w:name="expected-outcomes"/>
    <w:p>
      <w:pPr>
        <w:pStyle w:val="Heading2"/>
      </w:pPr>
      <w:r>
        <w:t xml:space="preserve">6. Expected Outcomes</w:t>
      </w:r>
    </w:p>
    <w:p>
      <w:pPr>
        <w:pStyle w:val="FirstParagraph"/>
      </w:pPr>
      <w:r>
        <w:t xml:space="preserve">The expected outcomes of this experiment include:</w:t>
      </w:r>
    </w:p>
    <w:p>
      <w:pPr>
        <w:numPr>
          <w:ilvl w:val="0"/>
          <w:numId w:val="1007"/>
        </w:numPr>
        <w:pStyle w:val="Compact"/>
      </w:pPr>
      <w:r>
        <w:t xml:space="preserve">A comprehensive evaluation of the Translator Interpreter's performance in the context of Colombia Medellín.</w:t>
      </w:r>
    </w:p>
    <w:p>
      <w:pPr>
        <w:numPr>
          <w:ilvl w:val="0"/>
          <w:numId w:val="1007"/>
        </w:numPr>
        <w:pStyle w:val="Compact"/>
      </w:pPr>
      <w:r>
        <w:t xml:space="preserve">Identification of specific areas where the system excels and areas that require improvement.</w:t>
      </w:r>
    </w:p>
    <w:p>
      <w:pPr>
        <w:numPr>
          <w:ilvl w:val="0"/>
          <w:numId w:val="1007"/>
        </w:numPr>
        <w:pStyle w:val="Compact"/>
      </w:pPr>
      <w:r>
        <w:t xml:space="preserve">Recommendations for enhancing the system's ability to handle regional dialects and cultural nuances.</w:t>
      </w:r>
    </w:p>
    <w:p>
      <w:pPr>
        <w:numPr>
          <w:ilvl w:val="0"/>
          <w:numId w:val="1007"/>
        </w:numPr>
        <w:pStyle w:val="Compact"/>
      </w:pPr>
      <w:r>
        <w:t xml:space="preserve">Insights into the potential applications of the Translator Interpreter in various sectors in Medellín, such as tourism, healthcare, and business.</w:t>
      </w:r>
    </w:p>
    <w:bookmarkEnd w:id="29"/>
    <w:bookmarkStart w:id="30" w:name="conclusion"/>
    <w:p>
      <w:pPr>
        <w:pStyle w:val="Heading2"/>
      </w:pPr>
      <w:r>
        <w:t xml:space="preserve">7. Conclusion</w:t>
      </w:r>
    </w:p>
    <w:p>
      <w:pPr>
        <w:pStyle w:val="FirstParagraph"/>
      </w:pPr>
      <w:r>
        <w:t xml:space="preserve">This Experiment Protocol provides a structured approach to evaluating the Translator Interpreter in the unique linguistic and cultural environment of Colombia Medellín. By following this protocol, we aim to gain valuable insights into the system's capabilities and limitations, ultimately contributing to the development of more effective and culturally sensitive translation technologies.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Colombia Medellín</dc:title>
  <dc:creator/>
  <dc:language>en</dc:language>
  <cp:keywords/>
  <dcterms:created xsi:type="dcterms:W3CDTF">2026-10-10T06:24:50Z</dcterms:created>
  <dcterms:modified xsi:type="dcterms:W3CDTF">2026-10-10T06:24:50Z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