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Translator</w:t>
      </w:r>
      <w:r>
        <w:t xml:space="preserve"> </w:t>
      </w:r>
      <w:r>
        <w:t xml:space="preserve">Interpreter</w:t>
      </w:r>
      <w:r>
        <w:t xml:space="preserve"> </w:t>
      </w:r>
      <w:r>
        <w:t xml:space="preserve">in</w:t>
      </w:r>
      <w:r>
        <w:t xml:space="preserve"> </w:t>
      </w:r>
      <w:r>
        <w:t xml:space="preserve">France</w:t>
      </w:r>
      <w:r>
        <w:t xml:space="preserve"> </w:t>
      </w:r>
      <w:r>
        <w:t xml:space="preserve">Lyon</w:t>
      </w:r>
    </w:p>
    <w:bookmarkStart w:id="32" w:name="Xc8a72137212d5f07eefb5a2fbee9b2957b8e56f"/>
    <w:p>
      <w:pPr>
        <w:pStyle w:val="Heading1"/>
      </w:pPr>
      <w:r>
        <w:t xml:space="preserve">Experiment Protocol: Translator Interpreter in France Lyon</w:t>
      </w:r>
    </w:p>
    <w:bookmarkStart w:id="20" w:name="introduction-and-background"/>
    <w:p>
      <w:pPr>
        <w:pStyle w:val="Heading2"/>
      </w:pPr>
      <w:r>
        <w:t xml:space="preserve">1. Introduction and Background</w:t>
      </w:r>
    </w:p>
    <w:p>
      <w:pPr>
        <w:pStyle w:val="FirstParagraph"/>
      </w:pPr>
      <w:r>
        <w:t xml:space="preserve">This Experiment Protocol outlines the methodology for evaluating the performance, accuracy, and usability of a Translator Interpreter system within the specific linguistic and cultural context of France Lyon. Lyon, as a major economic, cultural, and educational hub in France, presents a unique environment for testing translation and interpretation technologies due to its multilingual population, international business activities, and rich cultural heritage.</w:t>
      </w:r>
    </w:p>
    <w:p>
      <w:pPr>
        <w:pStyle w:val="BodyText"/>
      </w:pPr>
      <w:r>
        <w:t xml:space="preserve">The Translator Interpreter under evaluation is designed to support real-time and post-event translation tasks across multiple languages, with a primary focus on French, English, and other commonly used languages in Lyon’s international community. This protocol ensures that the experiment is conducted systematically, ethically, and in compliance with relevant standards.</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assess the accuracy and fluency of the Translator Interpreter in real-world scenarios in France Lyon.</w:t>
      </w:r>
    </w:p>
    <w:p>
      <w:pPr>
        <w:numPr>
          <w:ilvl w:val="0"/>
          <w:numId w:val="1001"/>
        </w:numPr>
        <w:pStyle w:val="Compact"/>
      </w:pPr>
      <w:r>
        <w:t xml:space="preserve">To evaluate the system’s ability to handle domain-specific terminology relevant to Lyon’s business, healthcare, legal, and cultural sectors.</w:t>
      </w:r>
    </w:p>
    <w:p>
      <w:pPr>
        <w:numPr>
          <w:ilvl w:val="0"/>
          <w:numId w:val="1001"/>
        </w:numPr>
        <w:pStyle w:val="Compact"/>
      </w:pPr>
      <w:r>
        <w:t xml:space="preserve">To measure user satisfaction and perceived reliability among professional interpreters, translators, and end-users in Lyon.</w:t>
      </w:r>
    </w:p>
    <w:p>
      <w:pPr>
        <w:numPr>
          <w:ilvl w:val="0"/>
          <w:numId w:val="1001"/>
        </w:numPr>
        <w:pStyle w:val="Compact"/>
      </w:pPr>
      <w:r>
        <w:t xml:space="preserve">To identify technical limitations and areas for improvement in the Translator Interpreter’s performance.</w:t>
      </w:r>
    </w:p>
    <w:bookmarkEnd w:id="21"/>
    <w:bookmarkStart w:id="22" w:name="scope-and-context"/>
    <w:p>
      <w:pPr>
        <w:pStyle w:val="Heading2"/>
      </w:pPr>
      <w:r>
        <w:t xml:space="preserve">3. Scope and Context</w:t>
      </w:r>
    </w:p>
    <w:p>
      <w:pPr>
        <w:pStyle w:val="FirstParagraph"/>
      </w:pPr>
      <w:r>
        <w:t xml:space="preserve">This experiment will be conducted exclusively in France Lyon, leveraging local institutions, businesses, and community organizations. The scope includes:</w:t>
      </w:r>
    </w:p>
    <w:p>
      <w:pPr>
        <w:numPr>
          <w:ilvl w:val="0"/>
          <w:numId w:val="1002"/>
        </w:numPr>
        <w:pStyle w:val="Compact"/>
      </w:pPr>
      <w:r>
        <w:t xml:space="preserve">Real-time interpretation in meetings, conferences, and public events.</w:t>
      </w:r>
    </w:p>
    <w:p>
      <w:pPr>
        <w:numPr>
          <w:ilvl w:val="0"/>
          <w:numId w:val="1002"/>
        </w:numPr>
        <w:pStyle w:val="Compact"/>
      </w:pPr>
      <w:r>
        <w:t xml:space="preserve">Document translation tasks involving official, commercial, and cultural materials.</w:t>
      </w:r>
    </w:p>
    <w:p>
      <w:pPr>
        <w:numPr>
          <w:ilvl w:val="0"/>
          <w:numId w:val="1002"/>
        </w:numPr>
        <w:pStyle w:val="Compact"/>
      </w:pPr>
      <w:r>
        <w:t xml:space="preserve">Interaction with native French speakers and multilingual participants.</w:t>
      </w:r>
    </w:p>
    <w:p>
      <w:pPr>
        <w:numPr>
          <w:ilvl w:val="0"/>
          <w:numId w:val="1002"/>
        </w:numPr>
        <w:pStyle w:val="Compact"/>
      </w:pPr>
      <w:r>
        <w:t xml:space="preserve">Comparison with human interpreters and existing translation tools.</w:t>
      </w:r>
    </w:p>
    <w:p>
      <w:pPr>
        <w:pStyle w:val="FirstParagraph"/>
      </w:pPr>
      <w:r>
        <w:t xml:space="preserve">The cultural and linguistic diversity of Lyon will be considered throughout the experiment to ensure relevance and applicability of the findings.</w:t>
      </w:r>
    </w:p>
    <w:bookmarkEnd w:id="22"/>
    <w:bookmarkStart w:id="23" w:name="participants-and-roles"/>
    <w:p>
      <w:pPr>
        <w:pStyle w:val="Heading2"/>
      </w:pPr>
      <w:r>
        <w:t xml:space="preserve">4. Participants and Roles</w:t>
      </w:r>
    </w:p>
    <w:p>
      <w:pPr>
        <w:pStyle w:val="FirstParagraph"/>
      </w:pPr>
      <w:r>
        <w:t xml:space="preserve">The experiment will involve the following participants: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Role</w:t>
            </w:r>
          </w:p>
        </w:tc>
        <w:tc>
          <w:tcPr/>
          <w:p>
            <w:pPr>
              <w:pStyle w:val="Compact"/>
              <w:jc w:val="left"/>
            </w:pPr>
            <w:r>
              <w:t xml:space="preserve">Description</w:t>
            </w:r>
          </w:p>
        </w:tc>
        <w:tc>
          <w:tcPr/>
          <w:p>
            <w:pPr>
              <w:pStyle w:val="Compact"/>
              <w:jc w:val="left"/>
            </w:pPr>
            <w:r>
              <w:t xml:space="preserve">Number</w:t>
            </w:r>
          </w:p>
        </w:tc>
      </w:tr>
      <w:tr>
        <w:tc>
          <w:tcPr/>
          <w:p>
            <w:pPr>
              <w:pStyle w:val="Compact"/>
              <w:jc w:val="left"/>
            </w:pPr>
            <w:r>
              <w:t xml:space="preserve">Professional Interpreters</w:t>
            </w:r>
          </w:p>
        </w:tc>
        <w:tc>
          <w:tcPr/>
          <w:p>
            <w:pPr>
              <w:pStyle w:val="Compact"/>
              <w:jc w:val="left"/>
            </w:pPr>
            <w:r>
              <w:t xml:space="preserve">Certified interpreters based in Lyon</w:t>
            </w:r>
          </w:p>
        </w:tc>
        <w:tc>
          <w:tcPr/>
          <w:p>
            <w:pPr>
              <w:pStyle w:val="Compact"/>
              <w:jc w:val="left"/>
            </w:pPr>
            <w:r>
              <w:t xml:space="preserve">10</w:t>
            </w:r>
          </w:p>
        </w:tc>
      </w:tr>
      <w:tr>
        <w:tc>
          <w:tcPr/>
          <w:p>
            <w:pPr>
              <w:pStyle w:val="Compact"/>
              <w:jc w:val="left"/>
            </w:pPr>
            <w:r>
              <w:t xml:space="preserve">Translators</w:t>
            </w:r>
          </w:p>
        </w:tc>
        <w:tc>
          <w:tcPr/>
          <w:p>
            <w:pPr>
              <w:pStyle w:val="Compact"/>
              <w:jc w:val="left"/>
            </w:pPr>
            <w:r>
              <w:t xml:space="preserve">Experienced translators specializing in French and other languages</w:t>
            </w:r>
          </w:p>
        </w:tc>
        <w:tc>
          <w:tcPr/>
          <w:p>
            <w:pPr>
              <w:pStyle w:val="Compact"/>
              <w:jc w:val="left"/>
            </w:pPr>
            <w:r>
              <w:t xml:space="preserve">10</w:t>
            </w:r>
          </w:p>
        </w:tc>
      </w:tr>
      <w:tr>
        <w:tc>
          <w:tcPr/>
          <w:p>
            <w:pPr>
              <w:pStyle w:val="Compact"/>
              <w:jc w:val="left"/>
            </w:pPr>
            <w:r>
              <w:t xml:space="preserve">End-Users</w:t>
            </w:r>
          </w:p>
        </w:tc>
        <w:tc>
          <w:tcPr/>
          <w:p>
            <w:pPr>
              <w:pStyle w:val="Compact"/>
              <w:jc w:val="left"/>
            </w:pPr>
            <w:r>
              <w:t xml:space="preserve">Business professionals, healthcare workers, and public service staff in Lyon</w:t>
            </w:r>
          </w:p>
        </w:tc>
        <w:tc>
          <w:tcPr/>
          <w:p>
            <w:pPr>
              <w:pStyle w:val="Compact"/>
              <w:jc w:val="left"/>
            </w:pPr>
            <w:r>
              <w:t xml:space="preserve">30</w:t>
            </w:r>
          </w:p>
        </w:tc>
      </w:tr>
      <w:tr>
        <w:tc>
          <w:tcPr/>
          <w:p>
            <w:pPr>
              <w:pStyle w:val="Compact"/>
              <w:jc w:val="left"/>
            </w:pPr>
            <w:r>
              <w:t xml:space="preserve">System Evaluators</w:t>
            </w:r>
          </w:p>
        </w:tc>
        <w:tc>
          <w:tcPr/>
          <w:p>
            <w:pPr>
              <w:pStyle w:val="Compact"/>
              <w:jc w:val="left"/>
            </w:pPr>
            <w:r>
              <w:t xml:space="preserve">Technical experts assessing system performance</w:t>
            </w:r>
          </w:p>
        </w:tc>
        <w:tc>
          <w:tcPr/>
          <w:p>
            <w:pPr>
              <w:pStyle w:val="Compact"/>
              <w:jc w:val="left"/>
            </w:pPr>
            <w:r>
              <w:t xml:space="preserve">5</w:t>
            </w:r>
          </w:p>
        </w:tc>
      </w:tr>
    </w:tbl>
    <w:bookmarkEnd w:id="23"/>
    <w:bookmarkStart w:id="27" w:name="methodology"/>
    <w:p>
      <w:pPr>
        <w:pStyle w:val="Heading2"/>
      </w:pPr>
      <w:r>
        <w:t xml:space="preserve">5. Methodology</w:t>
      </w:r>
    </w:p>
    <w:bookmarkStart w:id="24" w:name="experimental-design"/>
    <w:p>
      <w:pPr>
        <w:pStyle w:val="Heading3"/>
      </w:pPr>
      <w:r>
        <w:t xml:space="preserve">5.1 Experimental Design</w:t>
      </w:r>
    </w:p>
    <w:p>
      <w:pPr>
        <w:pStyle w:val="FirstParagraph"/>
      </w:pPr>
      <w:r>
        <w:t xml:space="preserve">The experiment will follow a mixed-methods approach, combining quantitative metrics and qualitative feedback. Tasks will be structured to reflect real-world usage scenarios in France Lyon.</w:t>
      </w:r>
    </w:p>
    <w:bookmarkEnd w:id="24"/>
    <w:bookmarkStart w:id="25" w:name="tasks-and-scenarios"/>
    <w:p>
      <w:pPr>
        <w:pStyle w:val="Heading3"/>
      </w:pPr>
      <w:r>
        <w:t xml:space="preserve">5.2 Tasks and Scenarios</w:t>
      </w:r>
    </w:p>
    <w:p>
      <w:pPr>
        <w:numPr>
          <w:ilvl w:val="0"/>
          <w:numId w:val="1003"/>
        </w:numPr>
        <w:pStyle w:val="Compact"/>
      </w:pPr>
      <w:r>
        <w:t xml:space="preserve">Real-time interpretation during simulated business meetings and public events in Lyon.</w:t>
      </w:r>
    </w:p>
    <w:p>
      <w:pPr>
        <w:numPr>
          <w:ilvl w:val="0"/>
          <w:numId w:val="1003"/>
        </w:numPr>
        <w:pStyle w:val="Compact"/>
      </w:pPr>
      <w:r>
        <w:t xml:space="preserve">Translation of official documents, including contracts, medical records, and cultural materials.</w:t>
      </w:r>
    </w:p>
    <w:p>
      <w:pPr>
        <w:numPr>
          <w:ilvl w:val="0"/>
          <w:numId w:val="1003"/>
        </w:numPr>
        <w:pStyle w:val="Compact"/>
      </w:pPr>
      <w:r>
        <w:t xml:space="preserve">Conversational interpretation in healthcare and legal settings.</w:t>
      </w:r>
    </w:p>
    <w:p>
      <w:pPr>
        <w:numPr>
          <w:ilvl w:val="0"/>
          <w:numId w:val="1003"/>
        </w:numPr>
        <w:pStyle w:val="Compact"/>
      </w:pPr>
      <w:r>
        <w:t xml:space="preserve">Comparison tasks where participants evaluate outputs from the Translator Interpreter versus human interpreters.</w:t>
      </w:r>
    </w:p>
    <w:bookmarkEnd w:id="25"/>
    <w:bookmarkStart w:id="26" w:name="data-collection"/>
    <w:p>
      <w:pPr>
        <w:pStyle w:val="Heading3"/>
      </w:pPr>
      <w:r>
        <w:t xml:space="preserve">5.3 Data Collection</w:t>
      </w:r>
    </w:p>
    <w:p>
      <w:pPr>
        <w:pStyle w:val="FirstParagraph"/>
      </w:pPr>
      <w:r>
        <w:t xml:space="preserve">Data will be collected through:</w:t>
      </w:r>
    </w:p>
    <w:p>
      <w:pPr>
        <w:numPr>
          <w:ilvl w:val="0"/>
          <w:numId w:val="1004"/>
        </w:numPr>
        <w:pStyle w:val="Compact"/>
      </w:pPr>
      <w:r>
        <w:t xml:space="preserve">Automated system logs capturing response times, error rates, and usage patterns.</w:t>
      </w:r>
    </w:p>
    <w:p>
      <w:pPr>
        <w:numPr>
          <w:ilvl w:val="0"/>
          <w:numId w:val="1004"/>
        </w:numPr>
        <w:pStyle w:val="Compact"/>
      </w:pPr>
      <w:r>
        <w:t xml:space="preserve">Surveys and questionnaires administered to participants.</w:t>
      </w:r>
    </w:p>
    <w:p>
      <w:pPr>
        <w:numPr>
          <w:ilvl w:val="0"/>
          <w:numId w:val="1004"/>
        </w:numPr>
        <w:pStyle w:val="Compact"/>
      </w:pPr>
      <w:r>
        <w:t xml:space="preserve">Semi-structured interviews with professional interpreters and translators.</w:t>
      </w:r>
    </w:p>
    <w:p>
      <w:pPr>
        <w:numPr>
          <w:ilvl w:val="0"/>
          <w:numId w:val="1004"/>
        </w:numPr>
        <w:pStyle w:val="Compact"/>
      </w:pPr>
      <w:r>
        <w:t xml:space="preserve">Direct observation of system performance in live settings.</w:t>
      </w:r>
    </w:p>
    <w:bookmarkEnd w:id="26"/>
    <w:bookmarkEnd w:id="27"/>
    <w:bookmarkStart w:id="28" w:name="evaluation-criteria"/>
    <w:p>
      <w:pPr>
        <w:pStyle w:val="Heading2"/>
      </w:pPr>
      <w:r>
        <w:t xml:space="preserve">6. Evaluation Criteria</w:t>
      </w:r>
    </w:p>
    <w:p>
      <w:pPr>
        <w:pStyle w:val="FirstParagraph"/>
      </w:pPr>
      <w:r>
        <w:t xml:space="preserve">The Translator Interpreter will be evaluated based on the following criteria:</w:t>
      </w:r>
    </w:p>
    <w:p>
      <w:pPr>
        <w:numPr>
          <w:ilvl w:val="0"/>
          <w:numId w:val="1005"/>
        </w:numPr>
        <w:pStyle w:val="Compact"/>
      </w:pPr>
      <w:r>
        <w:t xml:space="preserve">Accuracy: Correctness of translated content and interpreted speech.</w:t>
      </w:r>
    </w:p>
    <w:p>
      <w:pPr>
        <w:numPr>
          <w:ilvl w:val="0"/>
          <w:numId w:val="1005"/>
        </w:numPr>
        <w:pStyle w:val="Compact"/>
      </w:pPr>
      <w:r>
        <w:t xml:space="preserve">Fluency: Naturalness and coherence of output.</w:t>
      </w:r>
    </w:p>
    <w:p>
      <w:pPr>
        <w:numPr>
          <w:ilvl w:val="0"/>
          <w:numId w:val="1005"/>
        </w:numPr>
        <w:pStyle w:val="Compact"/>
      </w:pPr>
      <w:r>
        <w:t xml:space="preserve">Latency: Response time in real-time scenarios.</w:t>
      </w:r>
    </w:p>
    <w:p>
      <w:pPr>
        <w:numPr>
          <w:ilvl w:val="0"/>
          <w:numId w:val="1005"/>
        </w:numPr>
        <w:pStyle w:val="Compact"/>
      </w:pPr>
      <w:r>
        <w:t xml:space="preserve">Domain Adaptation: Ability to handle specialized terminology relevant to Lyon’s sectors.</w:t>
      </w:r>
    </w:p>
    <w:p>
      <w:pPr>
        <w:numPr>
          <w:ilvl w:val="0"/>
          <w:numId w:val="1005"/>
        </w:numPr>
        <w:pStyle w:val="Compact"/>
      </w:pPr>
      <w:r>
        <w:t xml:space="preserve">User Satisfaction: Perceived usefulness and ease of use.</w:t>
      </w:r>
    </w:p>
    <w:p>
      <w:pPr>
        <w:numPr>
          <w:ilvl w:val="0"/>
          <w:numId w:val="1005"/>
        </w:numPr>
        <w:pStyle w:val="Compact"/>
      </w:pPr>
      <w:r>
        <w:t xml:space="preserve">Ethical Compliance: Adherence to privacy and data protection standards.</w:t>
      </w:r>
    </w:p>
    <w:bookmarkEnd w:id="28"/>
    <w:bookmarkStart w:id="29" w:name="ethical-considerations"/>
    <w:p>
      <w:pPr>
        <w:pStyle w:val="Heading2"/>
      </w:pPr>
      <w:r>
        <w:t xml:space="preserve">7. Ethical Considerations</w:t>
      </w:r>
    </w:p>
    <w:p>
      <w:pPr>
        <w:pStyle w:val="FirstParagraph"/>
      </w:pPr>
      <w:r>
        <w:t xml:space="preserve">This experiment will comply with ethical guidelines and French data protection regulations, including GDPR. All participants will provide informed consent, and personal data will be anonymized. Confidentiality of sensitive information, particularly in healthcare and legal contexts, will be strictly maintained.</w:t>
      </w:r>
    </w:p>
    <w:bookmarkEnd w:id="29"/>
    <w:bookmarkStart w:id="30" w:name="timeline"/>
    <w:p>
      <w:pPr>
        <w:pStyle w:val="Heading2"/>
      </w:pPr>
      <w:r>
        <w:t xml:space="preserve">8.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Description</w:t>
            </w:r>
          </w:p>
        </w:tc>
      </w:tr>
      <w:tr>
        <w:tc>
          <w:tcPr/>
          <w:p>
            <w:pPr>
              <w:pStyle w:val="Compact"/>
              <w:jc w:val="left"/>
            </w:pPr>
            <w:r>
              <w:t xml:space="preserve">Preparation</w:t>
            </w:r>
          </w:p>
        </w:tc>
        <w:tc>
          <w:tcPr/>
          <w:p>
            <w:pPr>
              <w:pStyle w:val="Compact"/>
              <w:jc w:val="left"/>
            </w:pPr>
            <w:r>
              <w:t xml:space="preserve">2 weeks</w:t>
            </w:r>
          </w:p>
        </w:tc>
        <w:tc>
          <w:tcPr/>
          <w:p>
            <w:pPr>
              <w:pStyle w:val="Compact"/>
              <w:jc w:val="left"/>
            </w:pPr>
            <w:r>
              <w:t xml:space="preserve">Recruitment, training, and system setup</w:t>
            </w:r>
          </w:p>
        </w:tc>
      </w:tr>
      <w:tr>
        <w:tc>
          <w:tcPr/>
          <w:p>
            <w:pPr>
              <w:pStyle w:val="Compact"/>
              <w:jc w:val="left"/>
            </w:pPr>
            <w:r>
              <w:t xml:space="preserve">Data Collection</w:t>
            </w:r>
          </w:p>
        </w:tc>
        <w:tc>
          <w:tcPr/>
          <w:p>
            <w:pPr>
              <w:pStyle w:val="Compact"/>
              <w:jc w:val="left"/>
            </w:pPr>
            <w:r>
              <w:t xml:space="preserve">6 weeks</w:t>
            </w:r>
          </w:p>
        </w:tc>
        <w:tc>
          <w:tcPr/>
          <w:p>
            <w:pPr>
              <w:pStyle w:val="Compact"/>
              <w:jc w:val="left"/>
            </w:pPr>
            <w:r>
              <w:t xml:space="preserve">Execution of tasks and scenarios in France Lyon</w:t>
            </w:r>
          </w:p>
        </w:tc>
      </w:tr>
      <w:tr>
        <w:tc>
          <w:tcPr/>
          <w:p>
            <w:pPr>
              <w:pStyle w:val="Compact"/>
              <w:jc w:val="left"/>
            </w:pPr>
            <w:r>
              <w:t xml:space="preserve">Analysis</w:t>
            </w:r>
          </w:p>
        </w:tc>
        <w:tc>
          <w:tcPr/>
          <w:p>
            <w:pPr>
              <w:pStyle w:val="Compact"/>
              <w:jc w:val="left"/>
            </w:pPr>
            <w:r>
              <w:t xml:space="preserve">3 weeks</w:t>
            </w:r>
          </w:p>
        </w:tc>
        <w:tc>
          <w:tcPr/>
          <w:p>
            <w:pPr>
              <w:pStyle w:val="Compact"/>
              <w:jc w:val="left"/>
            </w:pPr>
            <w:r>
              <w:t xml:space="preserve">Data processing and evaluation</w:t>
            </w:r>
          </w:p>
        </w:tc>
      </w:tr>
      <w:tr>
        <w:tc>
          <w:tcPr/>
          <w:p>
            <w:pPr>
              <w:pStyle w:val="Compact"/>
              <w:jc w:val="left"/>
            </w:pPr>
            <w:r>
              <w:t xml:space="preserve">Reporting</w:t>
            </w:r>
          </w:p>
        </w:tc>
        <w:tc>
          <w:tcPr/>
          <w:p>
            <w:pPr>
              <w:pStyle w:val="Compact"/>
              <w:jc w:val="left"/>
            </w:pPr>
            <w:r>
              <w:t xml:space="preserve">2 weeks</w:t>
            </w:r>
          </w:p>
        </w:tc>
        <w:tc>
          <w:tcPr/>
          <w:p>
            <w:pPr>
              <w:pStyle w:val="Compact"/>
              <w:jc w:val="left"/>
            </w:pPr>
            <w:r>
              <w:t xml:space="preserve">Compilation of results and recommendations</w:t>
            </w:r>
          </w:p>
        </w:tc>
      </w:tr>
    </w:tbl>
    <w:bookmarkEnd w:id="30"/>
    <w:bookmarkStart w:id="31" w:name="expected-outcomes"/>
    <w:p>
      <w:pPr>
        <w:pStyle w:val="Heading2"/>
      </w:pPr>
      <w:r>
        <w:t xml:space="preserve">9. Expected Outcomes</w:t>
      </w:r>
    </w:p>
    <w:p>
      <w:pPr>
        <w:pStyle w:val="FirstParagraph"/>
      </w:pPr>
      <w:r>
        <w:t xml:space="preserve">This Experiment Protocol for the Translator Interpreter in France Lyon aims to produce actionable insights into the system’s strengths and weaknesses. The findings will guide improvements in translation accuracy, cultural adaptation, and user experience, ultimately supporting more effective communication in Lyon’s diverse and international environment.</w:t>
      </w:r>
    </w:p>
    <w:bookmarkEnd w:id="31"/>
    <w:p>
      <w:pPr>
        <w:pStyle w:val="BodyText"/>
      </w:pPr>
      <w:r>
        <w:t xml:space="preserve">Experiment Protocol: Translator Interpreter in France Lyon | Version 1.0 | Confidential</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Translator Interpreter in France Lyon</dc:title>
  <dc:creator/>
  <dc:language>en</dc:language>
  <cp:keywords/>
  <dcterms:created xsi:type="dcterms:W3CDTF">2026-10-10T02:39:41Z</dcterms:created>
  <dcterms:modified xsi:type="dcterms:W3CDTF">2026-10-10T02:39:41Z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