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33" w:name="X99db570872e4508f388531e765ceede13464819"/>
    <w:p>
      <w:pPr>
        <w:pStyle w:val="Heading1"/>
      </w:pPr>
      <w:r>
        <w:t xml:space="preserve">Experiment Protocol: Evaluation of Translator Interpreter Systems in Myanmar Yangon</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efficacy, accuracy, and cultural appropriateness of Translator Interpreter technologies within the specific linguistic and social context of Myanmar Yangon. As Yangon serves as the economic and cultural hub of Myanmar, it presents a unique environment characterized by a complex interplay of languages, primarily Burmese (Myanmar language), English, and various regional dialects. The rapid digitalization of services in Yangon necessitates robust translation tools that can bridge communication gaps in healthcare, commerce, and public administration.</w:t>
      </w:r>
    </w:p>
    <w:p>
      <w:pPr>
        <w:pStyle w:val="BodyText"/>
      </w:pPr>
      <w:r>
        <w:t xml:space="preserve">The primary objective of this experiment is to assess how well current Translator Interpreter models handle the tonal nuances, honorifics, and code-switching prevalent in Yangon. Unlike standard translation tasks, interpreting in this region requires a deep understanding of local context, which this protocol aims to measure rigorously.</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quantify the translation accuracy of automated Translator Interpreter systems when processing spoken Burmese into English and vice versa in real-world Yangon scenarios.</w:t>
      </w:r>
    </w:p>
    <w:p>
      <w:pPr>
        <w:numPr>
          <w:ilvl w:val="0"/>
          <w:numId w:val="1001"/>
        </w:numPr>
        <w:pStyle w:val="Compact"/>
      </w:pPr>
      <w:r>
        <w:t xml:space="preserve">To evaluate the system's ability to recognize and correctly interpret local Yangon dialects and slang, which often differ from standard literary Burmese.</w:t>
      </w:r>
    </w:p>
    <w:p>
      <w:pPr>
        <w:numPr>
          <w:ilvl w:val="0"/>
          <w:numId w:val="1001"/>
        </w:numPr>
        <w:pStyle w:val="Compact"/>
      </w:pPr>
      <w:r>
        <w:t xml:space="preserve">To assess the latency and responsiveness of the Translator Interpreter under varying network conditions typical of Yangon's infrastructure.</w:t>
      </w:r>
    </w:p>
    <w:p>
      <w:pPr>
        <w:numPr>
          <w:ilvl w:val="0"/>
          <w:numId w:val="1001"/>
        </w:numPr>
        <w:pStyle w:val="Compact"/>
      </w:pPr>
      <w:r>
        <w:t xml:space="preserve">To gather qualitative feedback from native speakers in Yangon regarding the cultural sensitivity and politeness levels of the generated translations.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with qualitative user experience analysis. The experiment will be conducted over a period of six weeks in selected districts of Yangon, including downtown areas and residential neighborhoods to ensure a diverse sample of linguistic inputs.</w:t>
      </w:r>
    </w:p>
    <w:bookmarkEnd w:id="22"/>
    <w:bookmarkStart w:id="23" w:name="participants"/>
    <w:p>
      <w:pPr>
        <w:pStyle w:val="Heading3"/>
      </w:pPr>
      <w:r>
        <w:t xml:space="preserve">3.2 Participants</w:t>
      </w:r>
    </w:p>
    <w:p>
      <w:pPr>
        <w:pStyle w:val="FirstParagraph"/>
      </w:pPr>
      <w:r>
        <w:t xml:space="preserve">The participant pool will consist of 150 individuals residing in Myanmar Yangon. The cohort will be stratified to include:</w:t>
      </w:r>
    </w:p>
    <w:p>
      <w:pPr>
        <w:numPr>
          <w:ilvl w:val="0"/>
          <w:numId w:val="1002"/>
        </w:numPr>
        <w:pStyle w:val="Compact"/>
      </w:pPr>
      <w:r>
        <w:rPr>
          <w:bCs/>
          <w:b/>
        </w:rPr>
        <w:t xml:space="preserve">Native Burmese Speakers:</w:t>
      </w:r>
      <w:r>
        <w:t xml:space="preserve"> </w:t>
      </w:r>
      <w:r>
        <w:t xml:space="preserve">Individuals with varying levels of English proficiency.</w:t>
      </w:r>
    </w:p>
    <w:p>
      <w:pPr>
        <w:numPr>
          <w:ilvl w:val="0"/>
          <w:numId w:val="1002"/>
        </w:numPr>
        <w:pStyle w:val="Compact"/>
      </w:pPr>
      <w:r>
        <w:rPr>
          <w:bCs/>
          <w:b/>
        </w:rPr>
        <w:t xml:space="preserve">Expatriates and English Speakers:</w:t>
      </w:r>
      <w:r>
        <w:t xml:space="preserve"> </w:t>
      </w:r>
      <w:r>
        <w:t xml:space="preserve">Foreign residents and tourists currently in Yangon.</w:t>
      </w:r>
    </w:p>
    <w:p>
      <w:pPr>
        <w:numPr>
          <w:ilvl w:val="0"/>
          <w:numId w:val="1002"/>
        </w:numPr>
        <w:pStyle w:val="Compact"/>
      </w:pPr>
      <w:r>
        <w:rPr>
          <w:bCs/>
          <w:b/>
        </w:rPr>
        <w:t xml:space="preserve">Professional Interpreters:</w:t>
      </w:r>
      <w:r>
        <w:t xml:space="preserve"> </w:t>
      </w:r>
      <w:r>
        <w:t xml:space="preserve">Local experts who will serve as the ground truth for accuracy validation.</w:t>
      </w:r>
    </w:p>
    <w:bookmarkEnd w:id="23"/>
    <w:bookmarkStart w:id="24" w:name="data-collection-instruments"/>
    <w:p>
      <w:pPr>
        <w:pStyle w:val="Heading3"/>
      </w:pPr>
      <w:r>
        <w:t xml:space="preserve">3.3 Data Collection Instruments</w:t>
      </w:r>
    </w:p>
    <w:p>
      <w:pPr>
        <w:pStyle w:val="FirstParagraph"/>
      </w:pPr>
      <w:r>
        <w:t xml:space="preserve">The core instrument for this Experiment Protocol is a dedicated mobile application housing the Translator Interpreter engine. The app will record audio inputs, display translations, and log metadata such as timestamp, location within Yangon, and network speed. Participants will be asked to engage in scripted and unscripted dialogues covering topics such as medical consultations, market bargaining, and legal inquiries.</w:t>
      </w:r>
    </w:p>
    <w:bookmarkEnd w:id="24"/>
    <w:bookmarkEnd w:id="25"/>
    <w:bookmarkStart w:id="29" w:name="experimental-procedures"/>
    <w:p>
      <w:pPr>
        <w:pStyle w:val="Heading2"/>
      </w:pPr>
      <w:r>
        <w:t xml:space="preserve">4. Experimental Procedures</w:t>
      </w:r>
    </w:p>
    <w:bookmarkStart w:id="26" w:name="phase-1-calibration-and-training"/>
    <w:p>
      <w:pPr>
        <w:pStyle w:val="Heading3"/>
      </w:pPr>
      <w:r>
        <w:t xml:space="preserve">4.1 Phase 1: Calibration and Training</w:t>
      </w:r>
    </w:p>
    <w:p>
      <w:pPr>
        <w:pStyle w:val="FirstParagraph"/>
      </w:pPr>
      <w:r>
        <w:t xml:space="preserve">Before the main experiment, the Translator Interpreter system will undergo a calibration phase using a dataset of 5,000 audio clips recorded in Yangon. This dataset will focus on high-noise environments typical of the city's bustling streets and markets. The system will be fine-tuned to recognize specific phonetic patterns unique to the Yangon accent.</w:t>
      </w:r>
    </w:p>
    <w:bookmarkEnd w:id="26"/>
    <w:bookmarkStart w:id="27" w:name="phase-2-field-testing"/>
    <w:p>
      <w:pPr>
        <w:pStyle w:val="Heading3"/>
      </w:pPr>
      <w:r>
        <w:t xml:space="preserve">4.2 Phase 2: Field Testing</w:t>
      </w:r>
    </w:p>
    <w:p>
      <w:pPr>
        <w:pStyle w:val="FirstParagraph"/>
      </w:pPr>
      <w:r>
        <w:t xml:space="preserve">Participants will be paired based on language proficiency. One participant will speak Burmese, and the other will speak English. They will use the Translator Interpreter to communicate. The scenarios will include:</w:t>
      </w:r>
    </w:p>
    <w:p>
      <w:pPr>
        <w:numPr>
          <w:ilvl w:val="0"/>
          <w:numId w:val="1003"/>
        </w:numPr>
        <w:pStyle w:val="Compact"/>
      </w:pPr>
      <w:r>
        <w:rPr>
          <w:bCs/>
          <w:b/>
        </w:rPr>
        <w:t xml:space="preserve">Scenario A (Healthcare):</w:t>
      </w:r>
      <w:r>
        <w:t xml:space="preserve"> </w:t>
      </w:r>
      <w:r>
        <w:t xml:space="preserve">Describing symptoms and understanding medical advice.</w:t>
      </w:r>
    </w:p>
    <w:p>
      <w:pPr>
        <w:numPr>
          <w:ilvl w:val="0"/>
          <w:numId w:val="1003"/>
        </w:numPr>
        <w:pStyle w:val="Compact"/>
      </w:pPr>
      <w:r>
        <w:rPr>
          <w:bCs/>
          <w:b/>
        </w:rPr>
        <w:t xml:space="preserve">Scenario B (Commerce):</w:t>
      </w:r>
      <w:r>
        <w:t xml:space="preserve"> </w:t>
      </w:r>
      <w:r>
        <w:t xml:space="preserve">Negotiating prices and understanding product details in a local market.</w:t>
      </w:r>
    </w:p>
    <w:p>
      <w:pPr>
        <w:numPr>
          <w:ilvl w:val="0"/>
          <w:numId w:val="1003"/>
        </w:numPr>
        <w:pStyle w:val="Compact"/>
      </w:pPr>
      <w:r>
        <w:rPr>
          <w:bCs/>
          <w:b/>
        </w:rPr>
        <w:t xml:space="preserve">Scenario C (Navigation):</w:t>
      </w:r>
      <w:r>
        <w:t xml:space="preserve"> </w:t>
      </w:r>
      <w:r>
        <w:t xml:space="preserve">Asking for and giving directions within Yangon.</w:t>
      </w:r>
    </w:p>
    <w:p>
      <w:pPr>
        <w:pStyle w:val="FirstParagraph"/>
      </w:pPr>
      <w:r>
        <w:t xml:space="preserve">During these interactions, the system's output will be compared against a reference translation provided by a human expert.</w:t>
      </w:r>
    </w:p>
    <w:bookmarkEnd w:id="27"/>
    <w:bookmarkStart w:id="28" w:name="phase-3-evaluation-metrics"/>
    <w:p>
      <w:pPr>
        <w:pStyle w:val="Heading3"/>
      </w:pPr>
      <w:r>
        <w:t xml:space="preserve">4.3 Phase 3: Evaluation Metrics</w:t>
      </w:r>
    </w:p>
    <w:p>
      <w:pPr>
        <w:pStyle w:val="FirstParagraph"/>
      </w:pPr>
      <w:r>
        <w:t xml:space="preserve">The performance of the Translator Interpreter will be evaluated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Threshold</w:t>
            </w:r>
          </w:p>
        </w:tc>
      </w:tr>
      <w:tr>
        <w:tc>
          <w:tcPr/>
          <w:p>
            <w:pPr>
              <w:pStyle w:val="Compact"/>
              <w:jc w:val="left"/>
            </w:pPr>
            <w:r>
              <w:t xml:space="preserve">BLEU Score</w:t>
            </w:r>
          </w:p>
        </w:tc>
        <w:tc>
          <w:tcPr/>
          <w:p>
            <w:pPr>
              <w:pStyle w:val="Compact"/>
              <w:jc w:val="left"/>
            </w:pPr>
            <w:r>
              <w:t xml:space="preserve">Statistical measure of translation quality.</w:t>
            </w:r>
          </w:p>
        </w:tc>
        <w:tc>
          <w:tcPr/>
          <w:p>
            <w:pPr>
              <w:pStyle w:val="Compact"/>
              <w:jc w:val="left"/>
            </w:pPr>
            <w:r>
              <w:t xml:space="preserve">&gt; 0.35</w:t>
            </w:r>
          </w:p>
        </w:tc>
      </w:tr>
      <w:tr>
        <w:tc>
          <w:tcPr/>
          <w:p>
            <w:pPr>
              <w:pStyle w:val="Compact"/>
              <w:jc w:val="left"/>
            </w:pPr>
            <w:r>
              <w:t xml:space="preserve">Word Error Rate (WER)</w:t>
            </w:r>
          </w:p>
        </w:tc>
        <w:tc>
          <w:tcPr/>
          <w:p>
            <w:pPr>
              <w:pStyle w:val="Compact"/>
              <w:jc w:val="left"/>
            </w:pPr>
            <w:r>
              <w:t xml:space="preserve">Percentage of words incorrectly transcribed or translated.</w:t>
            </w:r>
          </w:p>
        </w:tc>
        <w:tc>
          <w:tcPr/>
          <w:p>
            <w:pPr>
              <w:pStyle w:val="Compact"/>
              <w:jc w:val="left"/>
            </w:pPr>
            <w:r>
              <w:t xml:space="preserve">&lt; 15%</w:t>
            </w:r>
          </w:p>
        </w:tc>
      </w:tr>
      <w:tr>
        <w:tc>
          <w:tcPr/>
          <w:p>
            <w:pPr>
              <w:pStyle w:val="Compact"/>
              <w:jc w:val="left"/>
            </w:pPr>
            <w:r>
              <w:t xml:space="preserve">Latency</w:t>
            </w:r>
          </w:p>
        </w:tc>
        <w:tc>
          <w:tcPr/>
          <w:p>
            <w:pPr>
              <w:pStyle w:val="Compact"/>
              <w:jc w:val="left"/>
            </w:pPr>
            <w:r>
              <w:t xml:space="preserve">Time taken from speech end to translation display.</w:t>
            </w:r>
          </w:p>
        </w:tc>
        <w:tc>
          <w:tcPr/>
          <w:p>
            <w:pPr>
              <w:pStyle w:val="Compact"/>
              <w:jc w:val="left"/>
            </w:pPr>
            <w:r>
              <w:t xml:space="preserve">&lt; 2 seconds</w:t>
            </w:r>
          </w:p>
        </w:tc>
      </w:tr>
      <w:tr>
        <w:tc>
          <w:tcPr/>
          <w:p>
            <w:pPr>
              <w:pStyle w:val="Compact"/>
              <w:jc w:val="left"/>
            </w:pPr>
            <w:r>
              <w:t xml:space="preserve">User Satisfaction</w:t>
            </w:r>
          </w:p>
        </w:tc>
        <w:tc>
          <w:tcPr/>
          <w:p>
            <w:pPr>
              <w:pStyle w:val="Compact"/>
              <w:jc w:val="left"/>
            </w:pPr>
            <w:r>
              <w:t xml:space="preserve">Post-interaction survey score (1-5 scale).</w:t>
            </w:r>
          </w:p>
        </w:tc>
        <w:tc>
          <w:tcPr/>
          <w:p>
            <w:pPr>
              <w:pStyle w:val="Compact"/>
              <w:jc w:val="left"/>
            </w:pPr>
            <w:r>
              <w:t xml:space="preserve">&gt; 4.0</w:t>
            </w:r>
          </w:p>
        </w:tc>
      </w:tr>
    </w:tbl>
    <w:bookmarkEnd w:id="28"/>
    <w:bookmarkEnd w:id="29"/>
    <w:bookmarkStart w:id="30" w:name="ethical-considerations-and-data-privacy"/>
    <w:p>
      <w:pPr>
        <w:pStyle w:val="Heading2"/>
      </w:pPr>
      <w:r>
        <w:t xml:space="preserve">5. Ethical Considerations and Data Privacy</w:t>
      </w:r>
    </w:p>
    <w:p>
      <w:pPr>
        <w:pStyle w:val="FirstParagraph"/>
      </w:pPr>
      <w:r>
        <w:t xml:space="preserve">Given the sensitive nature of communication, this Experiment Protocol strictly adheres to international ethical standards and local regulations in Myanmar. All participants in Yangon will provide informed consent before recording. Data collected will be anonymized, and no personally identifiable information will be stored on the Translator Interpreter servers. Participants will be informed of their right to withdraw from the study at any time without penalty.</w:t>
      </w:r>
    </w:p>
    <w:bookmarkEnd w:id="30"/>
    <w:bookmarkStart w:id="31" w:name="risk-management"/>
    <w:p>
      <w:pPr>
        <w:pStyle w:val="Heading2"/>
      </w:pPr>
      <w:r>
        <w:t xml:space="preserve">6. Risk Management</w:t>
      </w:r>
    </w:p>
    <w:p>
      <w:pPr>
        <w:pStyle w:val="FirstParagraph"/>
      </w:pPr>
      <w:r>
        <w:t xml:space="preserve">Potential risks include technical failures due to unstable internet connectivity in certain parts of Yangon. To mitigate this, the Translator Interpreter will feature an offline mode for basic phrase translation. Additionally, there is a risk of mistranslation in critical scenarios (e.g., medical). To address this, the protocol mandates that the tool is used for experimental purposes only and not as a substitute for professional human interpretation in high-stakes environments during the trial period.</w:t>
      </w:r>
    </w:p>
    <w:bookmarkEnd w:id="31"/>
    <w:bookmarkStart w:id="32" w:name="conclusion-and-expected-outcomes"/>
    <w:p>
      <w:pPr>
        <w:pStyle w:val="Heading2"/>
      </w:pPr>
      <w:r>
        <w:t xml:space="preserve">7. Conclusion and Expected Outcomes</w:t>
      </w:r>
    </w:p>
    <w:p>
      <w:pPr>
        <w:pStyle w:val="FirstParagraph"/>
      </w:pPr>
      <w:r>
        <w:t xml:space="preserve">This Experiment Protocol aims to provide a rigorous assessment of Translator Interpreter capabilities in the unique linguistic landscape of Myanmar Yangon. By focusing on real-world usage, local dialects, and user experience, the study will generate valuable insights for improving machine translation technologies. The expected outcome is a refined model that offers higher accuracy and cultural relevance, ultimately facilitating better communication and integration within the diverse community of Yangon. The findings will be documented and shared with relevant stakeholders to promote the development of inclusive language technologies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Myanmar Yangon</dc:title>
  <dc:creator/>
  <dc:language>en</dc:language>
  <cp:keywords/>
  <dcterms:created xsi:type="dcterms:W3CDTF">2026-10-10T04:28:01Z</dcterms:created>
  <dcterms:modified xsi:type="dcterms:W3CDTF">2026-10-10T04:28:01Z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