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bookmarkStart w:id="36" w:name="Xddb3b96a52da1812736da395e413d167e8bd218"/>
    <w:p>
      <w:pPr>
        <w:pStyle w:val="Heading1"/>
      </w:pPr>
      <w:r>
        <w:t xml:space="preserve">Experiment Protocol: Translator Interpreter in Netherlands Amsterdam</w:t>
      </w:r>
    </w:p>
    <w:p>
      <w:pPr>
        <w:pStyle w:val="FirstParagraph"/>
      </w:pPr>
      <w:r>
        <w:rPr>
          <w:bCs/>
          <w:b/>
        </w:rPr>
        <w:t xml:space="preserve">Protocol Title:</w:t>
      </w:r>
      <w:r>
        <w:t xml:space="preserve"> </w:t>
      </w:r>
      <w:r>
        <w:t xml:space="preserve">Evaluation of Translator Interpreter Performance in Multilingual Healthcare Settings in Netherlands Amsterdam</w:t>
      </w:r>
    </w:p>
    <w:p>
      <w:pPr>
        <w:pStyle w:val="BodyText"/>
      </w:pPr>
      <w:r>
        <w:rPr>
          <w:bCs/>
          <w:b/>
        </w:rPr>
        <w:t xml:space="preserve">Location:</w:t>
      </w:r>
      <w:r>
        <w:t xml:space="preserve"> </w:t>
      </w:r>
      <w:r>
        <w:t xml:space="preserve">Netherlands Amsterdam, including affiliated clinics and hospitals within the metropolitan area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2025</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Netherlands Amsterdam</w:t>
      </w:r>
    </w:p>
    <w:bookmarkStart w:id="20" w:name="introduction-and-background"/>
    <w:p>
      <w:pPr>
        <w:pStyle w:val="Heading2"/>
      </w:pPr>
      <w:r>
        <w:t xml:space="preserve">1. Introduction and Background</w:t>
      </w:r>
    </w:p>
    <w:p>
      <w:pPr>
        <w:pStyle w:val="FirstParagraph"/>
      </w:pPr>
      <w:r>
        <w:t xml:space="preserve">The Netherlands Amsterdam region is characterized by a highly diverse, multilingual population. Effective communication between healthcare providers and patients who do not speak Dutch fluently is essential for accurate diagnosis, treatment adherence, and patient satisfaction. Translator Interpreter services are increasingly utilized in clinical environments to bridge language barriers. However, the quality, consistency, and impact of Translator Interpreter performance in real-world settings within Netherlands Amsterdam require systematic evaluation.</w:t>
      </w:r>
    </w:p>
    <w:p>
      <w:pPr>
        <w:pStyle w:val="BodyText"/>
      </w:pPr>
      <w:r>
        <w:t xml:space="preserve">This Experiment Protocol outlines a structured study to assess the effectiveness of Translator Interpreter services in healthcare consultations in Netherlands Amsterdam. The study will examine communication accuracy, patient understanding, provider confidence, and overall satisfaction across multiple languages commonly spoken in the region.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accuracy and completeness of information conveyed by Translator Interpreter services during medical consultations in Netherlands Amsterdam.</w:t>
      </w:r>
    </w:p>
    <w:p>
      <w:pPr>
        <w:numPr>
          <w:ilvl w:val="0"/>
          <w:numId w:val="1001"/>
        </w:numPr>
        <w:pStyle w:val="Compact"/>
      </w:pPr>
      <w:r>
        <w:t xml:space="preserve">To assess patient comprehension and satisfaction when Translator Interpreter services are used.</w:t>
      </w:r>
    </w:p>
    <w:p>
      <w:pPr>
        <w:numPr>
          <w:ilvl w:val="0"/>
          <w:numId w:val="1001"/>
        </w:numPr>
        <w:pStyle w:val="Compact"/>
      </w:pPr>
      <w:r>
        <w:t xml:space="preserve">To measure healthcare provider confidence and perceived effectiveness when working with Translator Interpreter services.</w:t>
      </w:r>
    </w:p>
    <w:p>
      <w:pPr>
        <w:numPr>
          <w:ilvl w:val="0"/>
          <w:numId w:val="1001"/>
        </w:numPr>
        <w:pStyle w:val="Compact"/>
      </w:pPr>
      <w:r>
        <w:t xml:space="preserve">To identify common challenges and error patterns in Translator Interpreter performance across different languages and clinical contexts in Netherlands Amsterdam.</w:t>
      </w:r>
    </w:p>
    <w:p>
      <w:pPr>
        <w:numPr>
          <w:ilvl w:val="0"/>
          <w:numId w:val="1001"/>
        </w:numPr>
        <w:pStyle w:val="Compact"/>
      </w:pPr>
      <w:r>
        <w:t xml:space="preserve">To provide evidence-based recommendations for improving Translator Interpreter training and deployment in healthcare settings in the Netherlands Amsterdam region.</w:t>
      </w:r>
    </w:p>
    <w:bookmarkEnd w:id="21"/>
    <w:bookmarkStart w:id="24" w:name="study-design"/>
    <w:p>
      <w:pPr>
        <w:pStyle w:val="Heading2"/>
      </w:pPr>
      <w:r>
        <w:t xml:space="preserve">3. Study Design</w:t>
      </w:r>
    </w:p>
    <w:p>
      <w:pPr>
        <w:pStyle w:val="FirstParagraph"/>
      </w:pPr>
      <w:r>
        <w:t xml:space="preserve">This study will employ a mixed-methods design, combining quantitative metrics and qualitative feedback. The Experiment Protocol will be implemented across selected healthcare facilities in Netherlands Amsterdam, including primary care clinics, emergency departments, and specialized outpatient services.</w:t>
      </w:r>
    </w:p>
    <w:bookmarkStart w:id="22" w:name="study-type"/>
    <w:p>
      <w:pPr>
        <w:pStyle w:val="Heading3"/>
      </w:pPr>
      <w:r>
        <w:t xml:space="preserve">3.1 Study Type</w:t>
      </w:r>
    </w:p>
    <w:p>
      <w:pPr>
        <w:pStyle w:val="FirstParagraph"/>
      </w:pPr>
      <w:r>
        <w:t xml:space="preserve">Observational study with controlled evaluation components. Translator Interpreter sessions will be recorded (with consent) and analyzed using standardized assessment tools.</w:t>
      </w:r>
    </w:p>
    <w:bookmarkEnd w:id="22"/>
    <w:bookmarkStart w:id="23" w:name="duration"/>
    <w:p>
      <w:pPr>
        <w:pStyle w:val="Heading3"/>
      </w:pPr>
      <w:r>
        <w:t xml:space="preserve">3.2 Duration</w:t>
      </w:r>
    </w:p>
    <w:p>
      <w:pPr>
        <w:pStyle w:val="FirstParagraph"/>
      </w:pPr>
      <w:r>
        <w:t xml:space="preserve">The Experiment Protocol will run for six months, allowing sufficient data collection across seasons and varying patient demographics in Netherlands Amsterdam.</w:t>
      </w:r>
    </w:p>
    <w:bookmarkEnd w:id="23"/>
    <w:bookmarkEnd w:id="24"/>
    <w:bookmarkStart w:id="27" w:name="participants"/>
    <w:p>
      <w:pPr>
        <w:pStyle w:val="Heading2"/>
      </w:pPr>
      <w:r>
        <w:t xml:space="preserve">4. Participants</w:t>
      </w:r>
    </w:p>
    <w:bookmarkStart w:id="25" w:name="inclusion-criteria"/>
    <w:p>
      <w:pPr>
        <w:pStyle w:val="Heading3"/>
      </w:pPr>
      <w:r>
        <w:t xml:space="preserve">4.1 Inclusion Criteria</w:t>
      </w:r>
    </w:p>
    <w:p>
      <w:pPr>
        <w:numPr>
          <w:ilvl w:val="0"/>
          <w:numId w:val="1002"/>
        </w:numPr>
        <w:pStyle w:val="Compact"/>
      </w:pPr>
      <w:r>
        <w:t xml:space="preserve">Patients aged 18 years or older requiring Translator Interpreter services during medical consultations in Netherlands Amsterdam.</w:t>
      </w:r>
    </w:p>
    <w:p>
      <w:pPr>
        <w:numPr>
          <w:ilvl w:val="0"/>
          <w:numId w:val="1002"/>
        </w:numPr>
        <w:pStyle w:val="Compact"/>
      </w:pPr>
      <w:r>
        <w:t xml:space="preserve">Patients speaking one of the following languages: Arabic, Turkish, English, Spanish, Polish, or Somali.</w:t>
      </w:r>
    </w:p>
    <w:p>
      <w:pPr>
        <w:numPr>
          <w:ilvl w:val="0"/>
          <w:numId w:val="1002"/>
        </w:numPr>
        <w:pStyle w:val="Compact"/>
      </w:pPr>
      <w:r>
        <w:t xml:space="preserve">Healthcare providers who regularly use Translator Interpreter services in their practice.</w:t>
      </w:r>
    </w:p>
    <w:p>
      <w:pPr>
        <w:numPr>
          <w:ilvl w:val="0"/>
          <w:numId w:val="1002"/>
        </w:numPr>
        <w:pStyle w:val="Compact"/>
      </w:pPr>
      <w:r>
        <w:t xml:space="preserve">Certified or agency-provided Translator Interpreter professionals operating within the Netherlands Amsterdam healthcare system.</w:t>
      </w:r>
    </w:p>
    <w:bookmarkEnd w:id="25"/>
    <w:bookmarkStart w:id="26" w:name="exclusion-criteria"/>
    <w:p>
      <w:pPr>
        <w:pStyle w:val="Heading3"/>
      </w:pPr>
      <w:r>
        <w:t xml:space="preserve">4.2 Exclusion Criteria</w:t>
      </w:r>
    </w:p>
    <w:p>
      <w:pPr>
        <w:numPr>
          <w:ilvl w:val="0"/>
          <w:numId w:val="1003"/>
        </w:numPr>
        <w:pStyle w:val="Compact"/>
      </w:pPr>
      <w:r>
        <w:t xml:space="preserve">Patients unable to provide informed consent.</w:t>
      </w:r>
    </w:p>
    <w:p>
      <w:pPr>
        <w:numPr>
          <w:ilvl w:val="0"/>
          <w:numId w:val="1003"/>
        </w:numPr>
        <w:pStyle w:val="Compact"/>
      </w:pPr>
      <w:r>
        <w:t xml:space="preserve">Emergency situations where recording or evaluation would interfere with urgent care.</w:t>
      </w:r>
    </w:p>
    <w:p>
      <w:pPr>
        <w:numPr>
          <w:ilvl w:val="0"/>
          <w:numId w:val="1003"/>
        </w:numPr>
        <w:pStyle w:val="Compact"/>
      </w:pPr>
      <w:r>
        <w:t xml:space="preserve">Translator Interpreter sessions conducted via unverified or informal channels.</w:t>
      </w:r>
    </w:p>
    <w:bookmarkEnd w:id="26"/>
    <w:bookmarkEnd w:id="27"/>
    <w:bookmarkStart w:id="31" w:name="procedures"/>
    <w:p>
      <w:pPr>
        <w:pStyle w:val="Heading2"/>
      </w:pPr>
      <w:r>
        <w:t xml:space="preserve">5. Procedures</w:t>
      </w:r>
    </w:p>
    <w:bookmarkStart w:id="28" w:name="recruitment"/>
    <w:p>
      <w:pPr>
        <w:pStyle w:val="Heading3"/>
      </w:pPr>
      <w:r>
        <w:t xml:space="preserve">5.1 Recruitment</w:t>
      </w:r>
    </w:p>
    <w:p>
      <w:pPr>
        <w:pStyle w:val="FirstParagraph"/>
      </w:pPr>
      <w:r>
        <w:t xml:space="preserve">Participants will be recruited through participating healthcare facilities in Netherlands Amsterdam. Information about the Experiment Protocol will be provided in multiple languages to ensure accessibility.</w:t>
      </w:r>
    </w:p>
    <w:bookmarkEnd w:id="28"/>
    <w:bookmarkStart w:id="29" w:name="data-collection"/>
    <w:p>
      <w:pPr>
        <w:pStyle w:val="Heading3"/>
      </w:pPr>
      <w:r>
        <w:t xml:space="preserve">5.2 Data Collection</w:t>
      </w:r>
    </w:p>
    <w:p>
      <w:pPr>
        <w:pStyle w:val="FirstParagraph"/>
      </w:pPr>
      <w:r>
        <w:t xml:space="preserve">Data collection will include:</w:t>
      </w:r>
    </w:p>
    <w:p>
      <w:pPr>
        <w:numPr>
          <w:ilvl w:val="0"/>
          <w:numId w:val="1004"/>
        </w:numPr>
        <w:pStyle w:val="Compact"/>
      </w:pPr>
      <w:r>
        <w:t xml:space="preserve">Audio recordings of Translator Interpreter sessions (with explicit consent).</w:t>
      </w:r>
    </w:p>
    <w:p>
      <w:pPr>
        <w:numPr>
          <w:ilvl w:val="0"/>
          <w:numId w:val="1004"/>
        </w:numPr>
        <w:pStyle w:val="Compact"/>
      </w:pPr>
      <w:r>
        <w:t xml:space="preserve">Post-consultation questionnaires for patients and providers.</w:t>
      </w:r>
    </w:p>
    <w:p>
      <w:pPr>
        <w:numPr>
          <w:ilvl w:val="0"/>
          <w:numId w:val="1004"/>
        </w:numPr>
        <w:pStyle w:val="Compact"/>
      </w:pPr>
      <w:r>
        <w:t xml:space="preserve">Structured observation checklists completed by trained evaluators.</w:t>
      </w:r>
    </w:p>
    <w:p>
      <w:pPr>
        <w:numPr>
          <w:ilvl w:val="0"/>
          <w:numId w:val="1004"/>
        </w:numPr>
        <w:pStyle w:val="Compact"/>
      </w:pPr>
      <w:r>
        <w:t xml:space="preserve">Interviews with a subset of Translator Interpreter professionals to gather insights on workflow and challenges.</w:t>
      </w:r>
    </w:p>
    <w:bookmarkEnd w:id="29"/>
    <w:bookmarkStart w:id="30" w:name="evaluation-criteria"/>
    <w:p>
      <w:pPr>
        <w:pStyle w:val="Heading3"/>
      </w:pPr>
      <w:r>
        <w:t xml:space="preserve">5.3 Evaluation Criteria</w:t>
      </w:r>
    </w:p>
    <w:p>
      <w:pPr>
        <w:pStyle w:val="FirstParagraph"/>
      </w:pPr>
      <w:r>
        <w:t xml:space="preserve">Translator Interpreter performance will be assessed based on:</w:t>
      </w:r>
    </w:p>
    <w:p>
      <w:pPr>
        <w:numPr>
          <w:ilvl w:val="0"/>
          <w:numId w:val="1005"/>
        </w:numPr>
        <w:pStyle w:val="Compact"/>
      </w:pPr>
      <w:r>
        <w:t xml:space="preserve">Accuracy of translation and interpretation.</w:t>
      </w:r>
    </w:p>
    <w:p>
      <w:pPr>
        <w:numPr>
          <w:ilvl w:val="0"/>
          <w:numId w:val="1005"/>
        </w:numPr>
        <w:pStyle w:val="Compact"/>
      </w:pPr>
      <w:r>
        <w:t xml:space="preserve">Completeness of information conveyed.</w:t>
      </w:r>
    </w:p>
    <w:p>
      <w:pPr>
        <w:numPr>
          <w:ilvl w:val="0"/>
          <w:numId w:val="1005"/>
        </w:numPr>
        <w:pStyle w:val="Compact"/>
      </w:pPr>
      <w:r>
        <w:t xml:space="preserve">Adherence to professional ethics and confidentiality.</w:t>
      </w:r>
    </w:p>
    <w:p>
      <w:pPr>
        <w:numPr>
          <w:ilvl w:val="0"/>
          <w:numId w:val="1005"/>
        </w:numPr>
        <w:pStyle w:val="Compact"/>
      </w:pPr>
      <w:r>
        <w:t xml:space="preserve">Clarity and cultural appropriateness of communication.</w:t>
      </w:r>
    </w:p>
    <w:p>
      <w:pPr>
        <w:numPr>
          <w:ilvl w:val="0"/>
          <w:numId w:val="1005"/>
        </w:numPr>
        <w:pStyle w:val="Compact"/>
      </w:pPr>
      <w:r>
        <w:t xml:space="preserve">Timeliness and efficiency in facilitating the consultation.</w:t>
      </w:r>
    </w:p>
    <w:bookmarkEnd w:id="30"/>
    <w:bookmarkEnd w:id="31"/>
    <w:bookmarkStart w:id="32" w:name="ethical-considerations"/>
    <w:p>
      <w:pPr>
        <w:pStyle w:val="Heading2"/>
      </w:pPr>
      <w:r>
        <w:t xml:space="preserve">6. Ethical Considerations</w:t>
      </w:r>
    </w:p>
    <w:p>
      <w:pPr>
        <w:pStyle w:val="FirstParagraph"/>
      </w:pPr>
      <w:r>
        <w:t xml:space="preserve">This Experiment Protocol will adhere to ethical standards established by the Netherlands Amsterdam institutional review board and comply with national and EU regulations on data protection and patient privacy. Informed consent will be obtained from all participants in their preferred language. All recordings and personal data will be anonymized and stored securely.</w:t>
      </w:r>
    </w:p>
    <w:bookmarkEnd w:id="32"/>
    <w:bookmarkStart w:id="33" w:name="data-analysis"/>
    <w:p>
      <w:pPr>
        <w:pStyle w:val="Heading2"/>
      </w:pPr>
      <w:r>
        <w:t xml:space="preserve">7. Data Analysis</w:t>
      </w:r>
    </w:p>
    <w:p>
      <w:pPr>
        <w:pStyle w:val="FirstParagraph"/>
      </w:pPr>
      <w:r>
        <w:t xml:space="preserve">Quantitative data will be analyzed using descriptive statistics and comparative analyses to identify patterns in Translator Interpreter performance across languages and settings in Netherlands Amsterdam. Qualitative data from interviews and open-ended questionnaire responses will be thematically analyzed to provide context and depth to the findings.</w:t>
      </w:r>
    </w:p>
    <w:bookmarkEnd w:id="33"/>
    <w:bookmarkStart w:id="34" w:name="expected-outcomes"/>
    <w:p>
      <w:pPr>
        <w:pStyle w:val="Heading2"/>
      </w:pPr>
      <w:r>
        <w:t xml:space="preserve">8. Expected Outcomes</w:t>
      </w:r>
    </w:p>
    <w:p>
      <w:pPr>
        <w:pStyle w:val="FirstParagraph"/>
      </w:pPr>
      <w:r>
        <w:t xml:space="preserve">This Experiment Protocol aims to produce actionable insights into the effectiveness of Translator Interpreter services in healthcare settings within Netherlands Amsterdam. Expected outcomes include improved guidelines for Translator Interpreter training, enhanced protocols for integrating interpretation services into clinical workflows, and increased awareness of best practices for multilingual patient care in the region.</w:t>
      </w:r>
    </w:p>
    <w:bookmarkEnd w:id="34"/>
    <w:bookmarkStart w:id="35" w:name="dissemination"/>
    <w:p>
      <w:pPr>
        <w:pStyle w:val="Heading2"/>
      </w:pPr>
      <w:r>
        <w:t xml:space="preserve">9. Dissemination</w:t>
      </w:r>
    </w:p>
    <w:p>
      <w:pPr>
        <w:pStyle w:val="FirstParagraph"/>
      </w:pPr>
      <w:r>
        <w:t xml:space="preserve">Results from this Experiment Protocol will be shared with healthcare providers, Translator Interpreter agencies, policymakers, and academic institutions in Netherlands Amsterdam and beyond. Findings will be published in peer-reviewed journals and presented at relevant conferences to contribute to the broader understanding of Translator Interpreter performance in multilingual healthcare environments.</w:t>
      </w:r>
    </w:p>
    <w:bookmarkEnd w:id="35"/>
    <w:p>
      <w:pPr>
        <w:pStyle w:val="BodyText"/>
      </w:pPr>
      <w:r>
        <w:rPr>
          <w:bCs/>
          <w:b/>
        </w:rPr>
        <w:t xml:space="preserve">Note:</w:t>
      </w:r>
      <w:r>
        <w:t xml:space="preserve"> </w:t>
      </w:r>
      <w:r>
        <w:t xml:space="preserve">This Experiment Protocol is subject to approval by the relevant ethics committee and institutional authorities in Netherlands Amsterdam before implementation.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Netherlands Amsterdam</dc:title>
  <dc:creator/>
  <dc:language>en</dc:language>
  <cp:keywords/>
  <dcterms:created xsi:type="dcterms:W3CDTF">2026-10-10T03:57:32Z</dcterms:created>
  <dcterms:modified xsi:type="dcterms:W3CDTF">2026-10-10T03:57:32Z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