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59025a954ab2d27b579a21a1f41bb6f8cb3c139"/>
    <w:p>
      <w:pPr>
        <w:pStyle w:val="Heading1"/>
      </w:pPr>
      <w:r>
        <w:t xml:space="preserve">Experiment Protocol: Evaluation of Translator Interpreter Services in New Zealand Auckland</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services within the diverse urban environment of New Zealand Auckland. As one of the most multicultural cities in the world, Auckland presents a unique linguistic landscape where effective communication is critical across healthcare, legal, educational, and community sectors.</w:t>
      </w:r>
    </w:p>
    <w:p>
      <w:pPr>
        <w:pStyle w:val="BodyText"/>
      </w:pPr>
      <w:r>
        <w:t xml:space="preserve">The primary objective of this experiment is to evaluate how different modes of Translator Interpreter services—such as in-person, video remote interpreting (VRI), and telephone interpreting—perform in real-world scenarios specific to Auckland’s demographic profile. This includes assessing performance across key languages spoken in the region, including Māori, Samoan, Hindi, Mandarin, and English.</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accuracy and completeness of translations provided by Translator Interpreter services in Auckland-based settings.</w:t>
      </w:r>
    </w:p>
    <w:p>
      <w:pPr>
        <w:numPr>
          <w:ilvl w:val="0"/>
          <w:numId w:val="1001"/>
        </w:numPr>
        <w:pStyle w:val="Compact"/>
      </w:pPr>
      <w:r>
        <w:t xml:space="preserve">To assess the cultural sensitivity and contextual appropriateness of interpretations, particularly in interactions involving Māori and Pasifika communities.</w:t>
      </w:r>
    </w:p>
    <w:p>
      <w:pPr>
        <w:numPr>
          <w:ilvl w:val="0"/>
          <w:numId w:val="1001"/>
        </w:numPr>
        <w:pStyle w:val="Compact"/>
      </w:pPr>
      <w:r>
        <w:t xml:space="preserve">To compare user satisfaction and perceived trust levels across different delivery modes of Translator Interpreter services.</w:t>
      </w:r>
    </w:p>
    <w:p>
      <w:pPr>
        <w:numPr>
          <w:ilvl w:val="0"/>
          <w:numId w:val="1001"/>
        </w:numPr>
        <w:pStyle w:val="Compact"/>
      </w:pPr>
      <w:r>
        <w:t xml:space="preserve">To identify systemic gaps or delays in access to qualified Translator Interpreter services within Auckland’s public and private institutions.</w:t>
      </w:r>
    </w:p>
    <w:bookmarkEnd w:id="21"/>
    <w:bookmarkStart w:id="22" w:name="scope-and-setting"/>
    <w:p>
      <w:pPr>
        <w:pStyle w:val="Heading2"/>
      </w:pPr>
      <w:r>
        <w:t xml:space="preserve">3. Scope and Setting</w:t>
      </w:r>
    </w:p>
    <w:p>
      <w:pPr>
        <w:pStyle w:val="FirstParagraph"/>
      </w:pPr>
      <w:r>
        <w:t xml:space="preserve">This experiment will be conducted exclusively within the Auckland region of New Zealand. Selected sites will include:</w:t>
      </w:r>
    </w:p>
    <w:p>
      <w:pPr>
        <w:numPr>
          <w:ilvl w:val="0"/>
          <w:numId w:val="1002"/>
        </w:numPr>
        <w:pStyle w:val="Compact"/>
      </w:pPr>
      <w:r>
        <w:t xml:space="preserve">Public hospitals and primary care clinics</w:t>
      </w:r>
    </w:p>
    <w:p>
      <w:pPr>
        <w:numPr>
          <w:ilvl w:val="0"/>
          <w:numId w:val="1002"/>
        </w:numPr>
        <w:pStyle w:val="Compact"/>
      </w:pPr>
      <w:r>
        <w:t xml:space="preserve">Community legal centres</w:t>
      </w:r>
    </w:p>
    <w:p>
      <w:pPr>
        <w:numPr>
          <w:ilvl w:val="0"/>
          <w:numId w:val="1002"/>
        </w:numPr>
        <w:pStyle w:val="Compact"/>
      </w:pPr>
      <w:r>
        <w:t xml:space="preserve">Local government offices</w:t>
      </w:r>
    </w:p>
    <w:p>
      <w:pPr>
        <w:numPr>
          <w:ilvl w:val="0"/>
          <w:numId w:val="1002"/>
        </w:numPr>
        <w:pStyle w:val="Compact"/>
      </w:pPr>
      <w:r>
        <w:t xml:space="preserve">Selected educational institutions</w:t>
      </w:r>
    </w:p>
    <w:p>
      <w:pPr>
        <w:pStyle w:val="FirstParagraph"/>
      </w:pPr>
      <w:r>
        <w:t xml:space="preserve">The geographic and cultural diversity of Auckland ensures that the findings will be representative of broader urban New Zealand contexts while remaining specific to local needs.</w:t>
      </w:r>
    </w:p>
    <w:bookmarkEnd w:id="22"/>
    <w:bookmarkStart w:id="23" w:name="participants"/>
    <w:p>
      <w:pPr>
        <w:pStyle w:val="Heading2"/>
      </w:pPr>
      <w:r>
        <w:t xml:space="preserve">4. Participants</w:t>
      </w:r>
    </w:p>
    <w:p>
      <w:pPr>
        <w:pStyle w:val="FirstParagraph"/>
      </w:pPr>
      <w:r>
        <w:t xml:space="preserve">Participants will include:</w:t>
      </w:r>
    </w:p>
    <w:p>
      <w:pPr>
        <w:numPr>
          <w:ilvl w:val="0"/>
          <w:numId w:val="1003"/>
        </w:numPr>
        <w:pStyle w:val="Compact"/>
      </w:pPr>
      <w:r>
        <w:t xml:space="preserve">Service users requiring Translator Interpreter assistance (aged 18+)</w:t>
      </w:r>
    </w:p>
    <w:p>
      <w:pPr>
        <w:numPr>
          <w:ilvl w:val="0"/>
          <w:numId w:val="1003"/>
        </w:numPr>
        <w:pStyle w:val="Compact"/>
      </w:pPr>
      <w:r>
        <w:t xml:space="preserve">Professionally certified Translator Interpreter practitioners operating in Auckland</w:t>
      </w:r>
    </w:p>
    <w:p>
      <w:pPr>
        <w:numPr>
          <w:ilvl w:val="0"/>
          <w:numId w:val="1003"/>
        </w:numPr>
        <w:pStyle w:val="Compact"/>
      </w:pPr>
      <w:r>
        <w:t xml:space="preserve">Service providers (e.g., healthcare workers, legal advisors, educators)</w:t>
      </w:r>
    </w:p>
    <w:p>
      <w:pPr>
        <w:pStyle w:val="FirstParagraph"/>
      </w:pPr>
      <w:r>
        <w:t xml:space="preserve">Informed consent will be obtained from all participants. Special attention will be given to ethical considerations when working with vulnerable populations.</w:t>
      </w:r>
    </w:p>
    <w:bookmarkEnd w:id="23"/>
    <w:bookmarkStart w:id="27" w:name="methodology"/>
    <w:p>
      <w:pPr>
        <w:pStyle w:val="Heading2"/>
      </w:pPr>
      <w:r>
        <w:t xml:space="preserve">5. Methodology</w:t>
      </w:r>
    </w:p>
    <w:bookmarkStart w:id="24" w:name="study-design"/>
    <w:p>
      <w:pPr>
        <w:pStyle w:val="Heading3"/>
      </w:pPr>
      <w:r>
        <w:t xml:space="preserve">5.1 Study Design</w:t>
      </w:r>
    </w:p>
    <w:p>
      <w:pPr>
        <w:pStyle w:val="FirstParagraph"/>
      </w:pPr>
      <w:r>
        <w:t xml:space="preserve">A mixed-methods approach will be employed, combining quantitative metrics (e.g., accuracy scores, response times) with qualitative feedback (e.g., interviews, open-ended surveys).</w:t>
      </w:r>
    </w:p>
    <w:bookmarkEnd w:id="24"/>
    <w:bookmarkStart w:id="25" w:name="data-collection"/>
    <w:p>
      <w:pPr>
        <w:pStyle w:val="Heading3"/>
      </w:pPr>
      <w:r>
        <w:t xml:space="preserve">5.2 Data Collection</w:t>
      </w:r>
    </w:p>
    <w:p>
      <w:pPr>
        <w:pStyle w:val="FirstParagraph"/>
      </w:pPr>
      <w:r>
        <w:t xml:space="preserve">Data will be collected through:</w:t>
      </w:r>
    </w:p>
    <w:p>
      <w:pPr>
        <w:numPr>
          <w:ilvl w:val="0"/>
          <w:numId w:val="1004"/>
        </w:numPr>
        <w:pStyle w:val="Compact"/>
      </w:pPr>
      <w:r>
        <w:t xml:space="preserve">Recorded interpreted sessions (with consent)</w:t>
      </w:r>
    </w:p>
    <w:p>
      <w:pPr>
        <w:numPr>
          <w:ilvl w:val="0"/>
          <w:numId w:val="1004"/>
        </w:numPr>
        <w:pStyle w:val="Compact"/>
      </w:pPr>
      <w:r>
        <w:t xml:space="preserve">Post-session surveys for service users and providers</w:t>
      </w:r>
    </w:p>
    <w:p>
      <w:pPr>
        <w:numPr>
          <w:ilvl w:val="0"/>
          <w:numId w:val="1004"/>
        </w:numPr>
        <w:pStyle w:val="Compact"/>
      </w:pPr>
      <w:r>
        <w:t xml:space="preserve">Semi-structured interviews with Translator Interpreter professionals</w:t>
      </w:r>
    </w:p>
    <w:p>
      <w:pPr>
        <w:numPr>
          <w:ilvl w:val="0"/>
          <w:numId w:val="1004"/>
        </w:numPr>
        <w:pStyle w:val="Compact"/>
      </w:pPr>
      <w:r>
        <w:t xml:space="preserve">Observational checklists completed by trained researchers</w:t>
      </w:r>
    </w:p>
    <w:bookmarkEnd w:id="25"/>
    <w:bookmarkStart w:id="26" w:name="evaluation-criteria"/>
    <w:p>
      <w:pPr>
        <w:pStyle w:val="Heading3"/>
      </w:pPr>
      <w:r>
        <w:t xml:space="preserve">5.3 Evaluation Criteria</w:t>
      </w:r>
    </w:p>
    <w:p>
      <w:pPr>
        <w:pStyle w:val="FirstParagraph"/>
      </w:pPr>
      <w:r>
        <w:t xml:space="preserve">Each interpreted session will be evaluated based on:</w:t>
      </w:r>
    </w:p>
    <w:p>
      <w:pPr>
        <w:numPr>
          <w:ilvl w:val="0"/>
          <w:numId w:val="1005"/>
        </w:numPr>
        <w:pStyle w:val="Compact"/>
      </w:pPr>
      <w:r>
        <w:t xml:space="preserve">Linguistic accuracy</w:t>
      </w:r>
    </w:p>
    <w:p>
      <w:pPr>
        <w:numPr>
          <w:ilvl w:val="0"/>
          <w:numId w:val="1005"/>
        </w:numPr>
        <w:pStyle w:val="Compact"/>
      </w:pPr>
      <w:r>
        <w:t xml:space="preserve">Cultural appropriateness</w:t>
      </w:r>
    </w:p>
    <w:p>
      <w:pPr>
        <w:numPr>
          <w:ilvl w:val="0"/>
          <w:numId w:val="1005"/>
        </w:numPr>
        <w:pStyle w:val="Compact"/>
      </w:pPr>
      <w:r>
        <w:t xml:space="preserve">Timeliness and accessibility</w:t>
      </w:r>
    </w:p>
    <w:p>
      <w:pPr>
        <w:numPr>
          <w:ilvl w:val="0"/>
          <w:numId w:val="1005"/>
        </w:numPr>
        <w:pStyle w:val="Compact"/>
      </w:pPr>
      <w:r>
        <w:t xml:space="preserve">User and provider satisfaction</w:t>
      </w:r>
    </w:p>
    <w:bookmarkEnd w:id="26"/>
    <w:bookmarkEnd w:id="27"/>
    <w:bookmarkStart w:id="28" w:name="ethical-considerations"/>
    <w:p>
      <w:pPr>
        <w:pStyle w:val="Heading2"/>
      </w:pPr>
      <w:r>
        <w:t xml:space="preserve">6. Ethical Considerations</w:t>
      </w:r>
    </w:p>
    <w:p>
      <w:pPr>
        <w:pStyle w:val="FirstParagraph"/>
      </w:pPr>
      <w:r>
        <w:t xml:space="preserve">This Experiment Protocol adheres to New Zealand’s ethical guidelines for research involving human participants. Key considerations include:</w:t>
      </w:r>
    </w:p>
    <w:p>
      <w:pPr>
        <w:numPr>
          <w:ilvl w:val="0"/>
          <w:numId w:val="1006"/>
        </w:numPr>
        <w:pStyle w:val="Compact"/>
      </w:pPr>
      <w:r>
        <w:t xml:space="preserve">Confidentiality and data protection in line with the Privacy Act 2020</w:t>
      </w:r>
    </w:p>
    <w:p>
      <w:pPr>
        <w:numPr>
          <w:ilvl w:val="0"/>
          <w:numId w:val="1006"/>
        </w:numPr>
        <w:pStyle w:val="Compact"/>
      </w:pPr>
      <w:r>
        <w:t xml:space="preserve">Culturally safe practices, particularly when engaging with Māori and Pasifika communities</w:t>
      </w:r>
    </w:p>
    <w:p>
      <w:pPr>
        <w:numPr>
          <w:ilvl w:val="0"/>
          <w:numId w:val="1006"/>
        </w:numPr>
        <w:pStyle w:val="Compact"/>
      </w:pPr>
      <w:r>
        <w:t xml:space="preserve">Voluntary participation with the right to withdraw at any time</w:t>
      </w:r>
    </w:p>
    <w:p>
      <w:pPr>
        <w:pStyle w:val="FirstParagraph"/>
      </w:pPr>
      <w:r>
        <w:t xml:space="preserve">Ethical approval will be sought from a recognized New Zealand ethics committee prior to commencement.</w:t>
      </w:r>
    </w:p>
    <w:bookmarkEnd w:id="28"/>
    <w:bookmarkStart w:id="29" w:name="timeline"/>
    <w:p>
      <w:pPr>
        <w:pStyle w:val="Heading2"/>
      </w:pPr>
      <w:r>
        <w:t xml:space="preserve">7. Timeline</w:t>
      </w:r>
    </w:p>
    <w:p>
      <w:pPr>
        <w:pStyle w:val="FirstParagraph"/>
      </w:pPr>
      <w:r>
        <w:t xml:space="preserve">The experiment will be conducted over a six-month period:</w:t>
      </w:r>
    </w:p>
    <w:p>
      <w:pPr>
        <w:numPr>
          <w:ilvl w:val="0"/>
          <w:numId w:val="1007"/>
        </w:numPr>
        <w:pStyle w:val="Compact"/>
      </w:pPr>
      <w:r>
        <w:t xml:space="preserve">Month 1: Preparation, ethics approval, and recruitment</w:t>
      </w:r>
    </w:p>
    <w:p>
      <w:pPr>
        <w:numPr>
          <w:ilvl w:val="0"/>
          <w:numId w:val="1007"/>
        </w:numPr>
        <w:pStyle w:val="Compact"/>
      </w:pPr>
      <w:r>
        <w:t xml:space="preserve">Months 2–4: Data collection across selected Auckland sites</w:t>
      </w:r>
    </w:p>
    <w:p>
      <w:pPr>
        <w:numPr>
          <w:ilvl w:val="0"/>
          <w:numId w:val="1007"/>
        </w:numPr>
        <w:pStyle w:val="Compact"/>
      </w:pPr>
      <w:r>
        <w:t xml:space="preserve">Month 5: Data analysis</w:t>
      </w:r>
    </w:p>
    <w:p>
      <w:pPr>
        <w:numPr>
          <w:ilvl w:val="0"/>
          <w:numId w:val="1007"/>
        </w:numPr>
        <w:pStyle w:val="Compact"/>
      </w:pPr>
      <w:r>
        <w:t xml:space="preserve">Month 6: Reporting and dissemination of findings</w:t>
      </w:r>
    </w:p>
    <w:bookmarkEnd w:id="29"/>
    <w:bookmarkStart w:id="30" w:name="expected-outcomes"/>
    <w:p>
      <w:pPr>
        <w:pStyle w:val="Heading2"/>
      </w:pPr>
      <w:r>
        <w:t xml:space="preserve">8. Expected Outcomes</w:t>
      </w:r>
    </w:p>
    <w:p>
      <w:pPr>
        <w:pStyle w:val="FirstParagraph"/>
      </w:pPr>
      <w:r>
        <w:t xml:space="preserve">This Experiment Protocol aims to produce actionable insights that will:</w:t>
      </w:r>
    </w:p>
    <w:p>
      <w:pPr>
        <w:numPr>
          <w:ilvl w:val="0"/>
          <w:numId w:val="1008"/>
        </w:numPr>
        <w:pStyle w:val="Compact"/>
      </w:pPr>
      <w:r>
        <w:t xml:space="preserve">Improve the quality and accessibility of Translator Interpreter services in Auckland</w:t>
      </w:r>
    </w:p>
    <w:p>
      <w:pPr>
        <w:numPr>
          <w:ilvl w:val="0"/>
          <w:numId w:val="1008"/>
        </w:numPr>
        <w:pStyle w:val="Compact"/>
      </w:pPr>
      <w:r>
        <w:t xml:space="preserve">Inform policy and training standards for interpreting professionals in New Zealand</w:t>
      </w:r>
    </w:p>
    <w:p>
      <w:pPr>
        <w:numPr>
          <w:ilvl w:val="0"/>
          <w:numId w:val="1008"/>
        </w:numPr>
        <w:pStyle w:val="Compact"/>
      </w:pPr>
      <w:r>
        <w:t xml:space="preserve">Enhance communication equity for non-English-speaking residents in Auckland</w:t>
      </w:r>
    </w:p>
    <w:bookmarkEnd w:id="30"/>
    <w:bookmarkStart w:id="31" w:name="conclusion"/>
    <w:p>
      <w:pPr>
        <w:pStyle w:val="Heading2"/>
      </w:pPr>
      <w:r>
        <w:t xml:space="preserve">9. Conclusion</w:t>
      </w:r>
    </w:p>
    <w:p>
      <w:pPr>
        <w:pStyle w:val="FirstParagraph"/>
      </w:pPr>
      <w:r>
        <w:t xml:space="preserve">By rigorously evaluating Translator Interpreter services within the unique sociocultural context of New Zealand Auckland, this Experiment Protocol seeks to contribute to more inclusive, accurate, and culturally responsive communication practices. The findings will support stakeholders in delivering higher-quality services to Auckland’s diverse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New Zealand Auckland</dc:title>
  <dc:creator/>
  <dc:language>en</dc:language>
  <cp:keywords/>
  <dcterms:created xsi:type="dcterms:W3CDTF">2026-10-10T04:24:12Z</dcterms:created>
  <dcterms:modified xsi:type="dcterms:W3CDTF">2026-10-10T04:24:12Z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