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Translator</w:t>
      </w:r>
      <w:r>
        <w:t xml:space="preserve"> </w:t>
      </w:r>
      <w:r>
        <w:t xml:space="preserve">Interpreter</w:t>
      </w:r>
      <w:r>
        <w:t xml:space="preserve"> </w:t>
      </w:r>
      <w:r>
        <w:t xml:space="preserve">in</w:t>
      </w:r>
      <w:r>
        <w:t xml:space="preserve"> </w:t>
      </w:r>
      <w:r>
        <w:t xml:space="preserve">New</w:t>
      </w:r>
      <w:r>
        <w:t xml:space="preserve"> </w:t>
      </w:r>
      <w:r>
        <w:t xml:space="preserve">Zealand</w:t>
      </w:r>
      <w:r>
        <w:t xml:space="preserve"> </w:t>
      </w:r>
      <w:r>
        <w:t xml:space="preserve">Wellington</w:t>
      </w:r>
    </w:p>
    <w:bookmarkStart w:id="31" w:name="X7094abbfa26f235a0cd41650068381f0903dc3a"/>
    <w:p>
      <w:pPr>
        <w:pStyle w:val="Heading1"/>
      </w:pPr>
      <w:r>
        <w:t xml:space="preserve">Experiment Protocol: Translator Interpreter in New Zealand Wellington</w:t>
      </w:r>
    </w:p>
    <w:bookmarkStart w:id="20" w:name="introduction"/>
    <w:p>
      <w:pPr>
        <w:pStyle w:val="Heading2"/>
      </w:pPr>
      <w:r>
        <w:t xml:space="preserve">1. Introduction</w:t>
      </w:r>
    </w:p>
    <w:p>
      <w:pPr>
        <w:pStyle w:val="FirstParagraph"/>
      </w:pPr>
      <w:r>
        <w:t xml:space="preserve">This document outlines the comprehensive Experiment Protocol for evaluating the performance, accuracy, and cultural appropriateness of Translator Interpreter services within the context of New Zealand Wellington. Wellington, as the capital city of New Zealand, is a multicultural hub with a significant population of non-English speakers, including communities speaking Māori, Samoan, Tongan, Hindi, Mandarin, and other languages. The need for reliable and culturally sensitive translation and interpretation services is critical in healthcare, legal, education, and government sectors.</w:t>
      </w:r>
    </w:p>
    <w:p>
      <w:pPr>
        <w:pStyle w:val="BodyText"/>
      </w:pPr>
      <w:r>
        <w:t xml:space="preserve">The purpose of this experiment is to assess the effectiveness of various Translator Interpreter models—both human and AI-based—in real-world scenarios specific to Wellington’s linguistic and cultural landscape. This protocol ensures that all evaluations are conducted systematically, ethically, and in alignment with New Zealand’s regulatory standards.</w:t>
      </w:r>
    </w:p>
    <w:bookmarkEnd w:id="20"/>
    <w:bookmarkStart w:id="21" w:name="objectives"/>
    <w:p>
      <w:pPr>
        <w:pStyle w:val="Heading2"/>
      </w:pPr>
      <w:r>
        <w:t xml:space="preserve">2. Objectives</w:t>
      </w:r>
    </w:p>
    <w:p>
      <w:pPr>
        <w:pStyle w:val="FirstParagraph"/>
      </w:pPr>
      <w:r>
        <w:t xml:space="preserve">The primary objectives of this Experiment Protocol are:</w:t>
      </w:r>
    </w:p>
    <w:p>
      <w:pPr>
        <w:numPr>
          <w:ilvl w:val="0"/>
          <w:numId w:val="1001"/>
        </w:numPr>
        <w:pStyle w:val="Compact"/>
      </w:pPr>
      <w:r>
        <w:t xml:space="preserve">To evaluate the accuracy of translations and interpretations across multiple languages commonly spoken in New Zealand Wellington.</w:t>
      </w:r>
    </w:p>
    <w:p>
      <w:pPr>
        <w:numPr>
          <w:ilvl w:val="0"/>
          <w:numId w:val="1001"/>
        </w:numPr>
        <w:pStyle w:val="Compact"/>
      </w:pPr>
      <w:r>
        <w:t xml:space="preserve">To assess the cultural appropriateness and sensitivity of Translator Interpreter outputs in diverse community settings.</w:t>
      </w:r>
    </w:p>
    <w:p>
      <w:pPr>
        <w:numPr>
          <w:ilvl w:val="0"/>
          <w:numId w:val="1001"/>
        </w:numPr>
        <w:pStyle w:val="Compact"/>
      </w:pPr>
      <w:r>
        <w:t xml:space="preserve">To compare the performance of human interpreters versus AI-driven translation tools in high-stakes environments such as healthcare and legal proceedings.</w:t>
      </w:r>
    </w:p>
    <w:p>
      <w:pPr>
        <w:numPr>
          <w:ilvl w:val="0"/>
          <w:numId w:val="1001"/>
        </w:numPr>
        <w:pStyle w:val="Compact"/>
      </w:pPr>
      <w:r>
        <w:t xml:space="preserve">To identify gaps in current Translator Interpreter services and recommend improvements tailored to Wellington’s unique demographic needs.</w:t>
      </w:r>
    </w:p>
    <w:bookmarkEnd w:id="21"/>
    <w:bookmarkStart w:id="22" w:name="scope"/>
    <w:p>
      <w:pPr>
        <w:pStyle w:val="Heading2"/>
      </w:pPr>
      <w:r>
        <w:t xml:space="preserve">3. Scope</w:t>
      </w:r>
    </w:p>
    <w:p>
      <w:pPr>
        <w:pStyle w:val="FirstParagraph"/>
      </w:pPr>
      <w:r>
        <w:t xml:space="preserve">This experiment will focus on Translator Interpreter services operating within New Zealand Wellington. The scope includes:</w:t>
      </w:r>
    </w:p>
    <w:p>
      <w:pPr>
        <w:numPr>
          <w:ilvl w:val="0"/>
          <w:numId w:val="1002"/>
        </w:numPr>
        <w:pStyle w:val="Compact"/>
      </w:pPr>
      <w:r>
        <w:t xml:space="preserve">Healthcare facilities (e.g., Wellington Hospital, community health centers).</w:t>
      </w:r>
    </w:p>
    <w:p>
      <w:pPr>
        <w:numPr>
          <w:ilvl w:val="0"/>
          <w:numId w:val="1002"/>
        </w:numPr>
        <w:pStyle w:val="Compact"/>
      </w:pPr>
      <w:r>
        <w:t xml:space="preserve">Legal institutions (e.g., courts, police stations, legal aid offices).</w:t>
      </w:r>
    </w:p>
    <w:p>
      <w:pPr>
        <w:numPr>
          <w:ilvl w:val="0"/>
          <w:numId w:val="1002"/>
        </w:numPr>
        <w:pStyle w:val="Compact"/>
      </w:pPr>
      <w:r>
        <w:t xml:space="preserve">Government agencies providing public services.</w:t>
      </w:r>
    </w:p>
    <w:p>
      <w:pPr>
        <w:numPr>
          <w:ilvl w:val="0"/>
          <w:numId w:val="1002"/>
        </w:numPr>
        <w:pStyle w:val="Compact"/>
      </w:pPr>
      <w:r>
        <w:t xml:space="preserve">Educational institutions serving multilingual student populations.</w:t>
      </w:r>
    </w:p>
    <w:p>
      <w:pPr>
        <w:pStyle w:val="FirstParagraph"/>
      </w:pPr>
      <w:r>
        <w:t xml:space="preserve">The languages under evaluation will include Te Reo Māori, Samoan, Tongan, Hindi, Mandarin, and English, reflecting the linguistic diversity of Wellington’s population.</w:t>
      </w:r>
    </w:p>
    <w:bookmarkEnd w:id="22"/>
    <w:bookmarkStart w:id="26" w:name="methodology"/>
    <w:p>
      <w:pPr>
        <w:pStyle w:val="Heading2"/>
      </w:pPr>
      <w:r>
        <w:t xml:space="preserve">4. Methodology</w:t>
      </w:r>
    </w:p>
    <w:bookmarkStart w:id="23" w:name="participant-selection"/>
    <w:p>
      <w:pPr>
        <w:pStyle w:val="Heading3"/>
      </w:pPr>
      <w:r>
        <w:t xml:space="preserve">4.1 Participant Selection</w:t>
      </w:r>
    </w:p>
    <w:p>
      <w:pPr>
        <w:pStyle w:val="FirstParagraph"/>
      </w:pPr>
      <w:r>
        <w:t xml:space="preserve">Participants will include:</w:t>
      </w:r>
    </w:p>
    <w:p>
      <w:pPr>
        <w:numPr>
          <w:ilvl w:val="0"/>
          <w:numId w:val="1003"/>
        </w:numPr>
        <w:pStyle w:val="Compact"/>
      </w:pPr>
      <w:r>
        <w:t xml:space="preserve">Professional human interpreters certified by the New Zealand Institute of Language Interpreters and Translators (NZILTA).</w:t>
      </w:r>
    </w:p>
    <w:p>
      <w:pPr>
        <w:numPr>
          <w:ilvl w:val="0"/>
          <w:numId w:val="1003"/>
        </w:numPr>
        <w:pStyle w:val="Compact"/>
      </w:pPr>
      <w:r>
        <w:t xml:space="preserve">AI-based translation tools widely used in New Zealand.</w:t>
      </w:r>
    </w:p>
    <w:p>
      <w:pPr>
        <w:numPr>
          <w:ilvl w:val="0"/>
          <w:numId w:val="1003"/>
        </w:numPr>
        <w:pStyle w:val="Compact"/>
      </w:pPr>
      <w:r>
        <w:t xml:space="preserve">Community members from target language groups who will serve as evaluators.</w:t>
      </w:r>
    </w:p>
    <w:bookmarkEnd w:id="23"/>
    <w:bookmarkStart w:id="24" w:name="data-collection"/>
    <w:p>
      <w:pPr>
        <w:pStyle w:val="Heading3"/>
      </w:pPr>
      <w:r>
        <w:t xml:space="preserve">4.2 Data Collection</w:t>
      </w:r>
    </w:p>
    <w:p>
      <w:pPr>
        <w:pStyle w:val="FirstParagraph"/>
      </w:pPr>
      <w:r>
        <w:t xml:space="preserve">Data will be collected through:</w:t>
      </w:r>
    </w:p>
    <w:p>
      <w:pPr>
        <w:numPr>
          <w:ilvl w:val="0"/>
          <w:numId w:val="1004"/>
        </w:numPr>
        <w:pStyle w:val="Compact"/>
      </w:pPr>
      <w:r>
        <w:t xml:space="preserve">Controlled simulations of real-life scenarios (e.g., medical consultations, legal interviews).</w:t>
      </w:r>
    </w:p>
    <w:p>
      <w:pPr>
        <w:numPr>
          <w:ilvl w:val="0"/>
          <w:numId w:val="1004"/>
        </w:numPr>
        <w:pStyle w:val="Compact"/>
      </w:pPr>
      <w:r>
        <w:t xml:space="preserve">Live observations of Translator Interpreter services in actual settings.</w:t>
      </w:r>
    </w:p>
    <w:p>
      <w:pPr>
        <w:numPr>
          <w:ilvl w:val="0"/>
          <w:numId w:val="1004"/>
        </w:numPr>
        <w:pStyle w:val="Compact"/>
      </w:pPr>
      <w:r>
        <w:t xml:space="preserve">Surveys and interviews with service users and providers.</w:t>
      </w:r>
    </w:p>
    <w:bookmarkEnd w:id="24"/>
    <w:bookmarkStart w:id="25" w:name="evaluation-criteria"/>
    <w:p>
      <w:pPr>
        <w:pStyle w:val="Heading3"/>
      </w:pPr>
      <w:r>
        <w:t xml:space="preserve">4.3 Evaluation Criteria</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Criterion</w:t>
            </w:r>
          </w:p>
        </w:tc>
        <w:tc>
          <w:tcPr/>
          <w:p>
            <w:pPr>
              <w:pStyle w:val="Compact"/>
              <w:jc w:val="left"/>
            </w:pPr>
            <w:r>
              <w:t xml:space="preserve">Description</w:t>
            </w:r>
          </w:p>
        </w:tc>
      </w:tr>
      <w:tr>
        <w:tc>
          <w:tcPr/>
          <w:p>
            <w:pPr>
              <w:pStyle w:val="Compact"/>
              <w:jc w:val="left"/>
            </w:pPr>
            <w:r>
              <w:t xml:space="preserve">Accuracy</w:t>
            </w:r>
          </w:p>
        </w:tc>
        <w:tc>
          <w:tcPr/>
          <w:p>
            <w:pPr>
              <w:pStyle w:val="Compact"/>
              <w:jc w:val="left"/>
            </w:pPr>
            <w:r>
              <w:t xml:space="preserve">Correctness of translated or interpreted content.</w:t>
            </w:r>
          </w:p>
        </w:tc>
      </w:tr>
      <w:tr>
        <w:tc>
          <w:tcPr/>
          <w:p>
            <w:pPr>
              <w:pStyle w:val="Compact"/>
              <w:jc w:val="left"/>
            </w:pPr>
            <w:r>
              <w:t xml:space="preserve">Cultural Sensitivity</w:t>
            </w:r>
          </w:p>
        </w:tc>
        <w:tc>
          <w:tcPr/>
          <w:p>
            <w:pPr>
              <w:pStyle w:val="Compact"/>
              <w:jc w:val="left"/>
            </w:pPr>
            <w:r>
              <w:t xml:space="preserve">Appropriateness of language and tone in cultural context.</w:t>
            </w:r>
          </w:p>
        </w:tc>
      </w:tr>
      <w:tr>
        <w:tc>
          <w:tcPr/>
          <w:p>
            <w:pPr>
              <w:pStyle w:val="Compact"/>
              <w:jc w:val="left"/>
            </w:pPr>
            <w:r>
              <w:t xml:space="preserve">Timeliness</w:t>
            </w:r>
          </w:p>
        </w:tc>
        <w:tc>
          <w:tcPr/>
          <w:p>
            <w:pPr>
              <w:pStyle w:val="Compact"/>
              <w:jc w:val="left"/>
            </w:pPr>
            <w:r>
              <w:t xml:space="preserve">Speed and efficiency of service delivery.</w:t>
            </w:r>
          </w:p>
        </w:tc>
      </w:tr>
      <w:tr>
        <w:tc>
          <w:tcPr/>
          <w:p>
            <w:pPr>
              <w:pStyle w:val="Compact"/>
              <w:jc w:val="left"/>
            </w:pPr>
            <w:r>
              <w:t xml:space="preserve">User Satisfaction</w:t>
            </w:r>
          </w:p>
        </w:tc>
        <w:tc>
          <w:tcPr/>
          <w:p>
            <w:pPr>
              <w:pStyle w:val="Compact"/>
              <w:jc w:val="left"/>
            </w:pPr>
            <w:r>
              <w:t xml:space="preserve">Feedback from end-users regarding clarity and trust.</w:t>
            </w:r>
          </w:p>
        </w:tc>
      </w:tr>
    </w:tbl>
    <w:bookmarkEnd w:id="25"/>
    <w:bookmarkEnd w:id="26"/>
    <w:bookmarkStart w:id="27" w:name="ethical-considerations"/>
    <w:p>
      <w:pPr>
        <w:pStyle w:val="Heading2"/>
      </w:pPr>
      <w:r>
        <w:t xml:space="preserve">5. Ethical Considerations</w:t>
      </w:r>
    </w:p>
    <w:p>
      <w:pPr>
        <w:pStyle w:val="FirstParagraph"/>
      </w:pPr>
      <w:r>
        <w:t xml:space="preserve">This Experiment Protocol adheres to ethical guidelines set by the University of Wellington and the New Zealand Health and Disability Ethics Committee. Key considerations include:</w:t>
      </w:r>
    </w:p>
    <w:p>
      <w:pPr>
        <w:numPr>
          <w:ilvl w:val="0"/>
          <w:numId w:val="1005"/>
        </w:numPr>
        <w:pStyle w:val="Compact"/>
      </w:pPr>
      <w:r>
        <w:t xml:space="preserve">Informed consent from all participants.</w:t>
      </w:r>
    </w:p>
    <w:p>
      <w:pPr>
        <w:numPr>
          <w:ilvl w:val="0"/>
          <w:numId w:val="1005"/>
        </w:numPr>
        <w:pStyle w:val="Compact"/>
      </w:pPr>
      <w:r>
        <w:t xml:space="preserve">Confidentiality and data protection in compliance with the Privacy Act 2020.</w:t>
      </w:r>
    </w:p>
    <w:p>
      <w:pPr>
        <w:numPr>
          <w:ilvl w:val="0"/>
          <w:numId w:val="1005"/>
        </w:numPr>
        <w:pStyle w:val="Compact"/>
      </w:pPr>
      <w:r>
        <w:t xml:space="preserve">Respect for cultural protocols, particularly those related to Māori communities.</w:t>
      </w:r>
    </w:p>
    <w:bookmarkEnd w:id="27"/>
    <w:bookmarkStart w:id="28" w:name="timeline"/>
    <w:p>
      <w:pPr>
        <w:pStyle w:val="Heading2"/>
      </w:pPr>
      <w:r>
        <w:t xml:space="preserve">6. Timeline</w:t>
      </w:r>
    </w:p>
    <w:p>
      <w:pPr>
        <w:pStyle w:val="FirstParagraph"/>
      </w:pPr>
      <w:r>
        <w:t xml:space="preserve">The experiment will be conducted over a period of six months, beginning in March 2025 and concluding in August 2025. Key milestones include:</w:t>
      </w:r>
    </w:p>
    <w:p>
      <w:pPr>
        <w:numPr>
          <w:ilvl w:val="0"/>
          <w:numId w:val="1006"/>
        </w:numPr>
        <w:pStyle w:val="Compact"/>
      </w:pPr>
      <w:r>
        <w:t xml:space="preserve">March 2025: Recruitment and training of participants.</w:t>
      </w:r>
    </w:p>
    <w:p>
      <w:pPr>
        <w:numPr>
          <w:ilvl w:val="0"/>
          <w:numId w:val="1006"/>
        </w:numPr>
        <w:pStyle w:val="Compact"/>
      </w:pPr>
      <w:r>
        <w:t xml:space="preserve">April–June 2025: Data collection phase.</w:t>
      </w:r>
    </w:p>
    <w:p>
      <w:pPr>
        <w:numPr>
          <w:ilvl w:val="0"/>
          <w:numId w:val="1006"/>
        </w:numPr>
        <w:pStyle w:val="Compact"/>
      </w:pPr>
      <w:r>
        <w:t xml:space="preserve">July 2025: Data analysis and evaluation.</w:t>
      </w:r>
    </w:p>
    <w:p>
      <w:pPr>
        <w:numPr>
          <w:ilvl w:val="0"/>
          <w:numId w:val="1006"/>
        </w:numPr>
        <w:pStyle w:val="Compact"/>
      </w:pPr>
      <w:r>
        <w:t xml:space="preserve">August 2025: Reporting and dissemination of findings.</w:t>
      </w:r>
    </w:p>
    <w:bookmarkEnd w:id="28"/>
    <w:bookmarkStart w:id="29" w:name="expected-outcomes"/>
    <w:p>
      <w:pPr>
        <w:pStyle w:val="Heading2"/>
      </w:pPr>
      <w:r>
        <w:t xml:space="preserve">7. Expected Outcomes</w:t>
      </w:r>
    </w:p>
    <w:p>
      <w:pPr>
        <w:pStyle w:val="FirstParagraph"/>
      </w:pPr>
      <w:r>
        <w:t xml:space="preserve">This Experiment Protocol aims to produce actionable insights that will:</w:t>
      </w:r>
    </w:p>
    <w:p>
      <w:pPr>
        <w:numPr>
          <w:ilvl w:val="0"/>
          <w:numId w:val="1007"/>
        </w:numPr>
        <w:pStyle w:val="Compact"/>
      </w:pPr>
      <w:r>
        <w:t xml:space="preserve">Enhance the quality of Translator Interpreter services in New Zealand Wellington.</w:t>
      </w:r>
    </w:p>
    <w:p>
      <w:pPr>
        <w:numPr>
          <w:ilvl w:val="0"/>
          <w:numId w:val="1007"/>
        </w:numPr>
        <w:pStyle w:val="Compact"/>
      </w:pPr>
      <w:r>
        <w:t xml:space="preserve">Support policy development for equitable access to language services.</w:t>
      </w:r>
    </w:p>
    <w:p>
      <w:pPr>
        <w:numPr>
          <w:ilvl w:val="0"/>
          <w:numId w:val="1007"/>
        </w:numPr>
        <w:pStyle w:val="Compact"/>
      </w:pPr>
      <w:r>
        <w:t xml:space="preserve">Promote best practices in cross-cultural communication within public services.</w:t>
      </w:r>
    </w:p>
    <w:bookmarkEnd w:id="29"/>
    <w:bookmarkStart w:id="30" w:name="conclusion"/>
    <w:p>
      <w:pPr>
        <w:pStyle w:val="Heading2"/>
      </w:pPr>
      <w:r>
        <w:t xml:space="preserve">8. Conclusion</w:t>
      </w:r>
    </w:p>
    <w:p>
      <w:pPr>
        <w:pStyle w:val="FirstParagraph"/>
      </w:pPr>
      <w:r>
        <w:t xml:space="preserve">By rigorously evaluating Translator Interpreter services within the unique context of New Zealand Wellington, this Experiment Protocol seeks to contribute to more inclusive, accurate, and culturally respectful communication practices. The findings will be invaluable for stakeholders committed to improving service delivery in a multicultural society.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Translator Interpreter in New Zealand Wellington</dc:title>
  <dc:creator/>
  <dc:language>en</dc:language>
  <cp:keywords/>
  <dcterms:created xsi:type="dcterms:W3CDTF">2026-10-10T01:22:51Z</dcterms:created>
  <dcterms:modified xsi:type="dcterms:W3CDTF">2026-10-10T01:22:51Z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