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Russia</w:t>
      </w:r>
      <w:r>
        <w:t xml:space="preserve"> </w:t>
      </w:r>
      <w:r>
        <w:t xml:space="preserve">Moscow</w:t>
      </w:r>
    </w:p>
    <w:bookmarkStart w:id="20" w:name="X84924edcfb414d1876f20dbe26d1a1be8bd78b3"/>
    <w:p>
      <w:pPr>
        <w:pStyle w:val="Heading1"/>
      </w:pPr>
      <w:r>
        <w:t xml:space="preserve">Experiment Protocol: Translator Interpreter in Russia Moscow</w:t>
      </w:r>
    </w:p>
    <w:p>
      <w:pPr>
        <w:pStyle w:val="FirstParagraph"/>
      </w:pPr>
      <w:r>
        <w:rPr>
          <w:bCs/>
          <w:b/>
        </w:rPr>
        <w:t xml:space="preserve">Protocol ID:</w:t>
      </w:r>
      <w:r>
        <w:t xml:space="preserve"> </w:t>
      </w:r>
      <w:r>
        <w:t xml:space="preserve">TI-RU-MOW-2024-001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Moscow, Russia</w:t>
      </w:r>
    </w:p>
    <w:p>
      <w:pPr>
        <w:pStyle w:val="BodyText"/>
      </w:pPr>
      <w:r>
        <w:rPr>
          <w:bCs/>
          <w:b/>
        </w:rPr>
        <w:t xml:space="preserve">Principal Investigator:</w:t>
      </w:r>
      <w:r>
        <w:t xml:space="preserve"> </w:t>
      </w:r>
      <w:r>
        <w:t xml:space="preserve">[Name Redacted]</w:t>
      </w:r>
    </w:p>
    <w:p>
      <w:pPr>
        <w:pStyle w:val="BodyText"/>
      </w:pPr>
      <w:r>
        <w:rPr>
          <w:bCs/>
          <w:b/>
        </w:rPr>
        <w:t xml:space="preserve">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methodology, procedures, and ethical considerations for evaluating the performance, accuracy, and cultural adaptability of a Translator Interpreter system within the specific linguistic and socio-cultural context of Russia Moscow. The rapid advancement of natural language processing (NLP) and machine translation technologies necessitates rigorous, real-world testing in complex, high-stakes environments. Moscow, as a major global hub for business, diplomacy, tourism, and technology, presents a unique testing ground due to its dense population, multilingual interactions, and the critical importance of precise communication in Russian.</w:t>
      </w:r>
    </w:p>
    <w:p>
      <w:pPr>
        <w:pStyle w:val="BodyText"/>
      </w:pPr>
      <w:r>
        <w:t xml:space="preserve">The primary objective of this experiment is to assess how effectively a Translator Interpreter can facilitate real-time communication between Russian speakers and speakers of other major languages (e.g., English, German, Chinese) in various Moscow-based scenarios. This includes evaluating technical accuracy, latency, handling of idiomatic expressions, cultural nuances, and user satisfaction. The findings will contribute to improving translation technologies for deployment in similar urban, multilingual environments globally.</w:t>
      </w:r>
    </w:p>
    <w:p>
      <w:pPr>
        <w:pStyle w:val="BodyText"/>
      </w:pPr>
      <w:r>
        <w:t xml:space="preserve">2. Objectives</w:t>
      </w:r>
    </w:p>
    <w:p>
      <w:pPr>
        <w:pStyle w:val="BodyText"/>
      </w:pPr>
      <w:r>
        <w:t xml:space="preserve">The specific objectives of this Experiment Protocol are:</w:t>
      </w:r>
    </w:p>
    <w:p>
      <w:pPr>
        <w:numPr>
          <w:ilvl w:val="0"/>
          <w:numId w:val="1001"/>
        </w:numPr>
        <w:pStyle w:val="Compact"/>
      </w:pPr>
      <w:r>
        <w:t xml:space="preserve">To measure the translation accuracy of the Translator Interpreter for Russian-English and Russian-German language pairs in real-time conversational settings in Moscow.</w:t>
      </w:r>
    </w:p>
    <w:p>
      <w:pPr>
        <w:numPr>
          <w:ilvl w:val="0"/>
          <w:numId w:val="1001"/>
        </w:numPr>
        <w:pStyle w:val="Compact"/>
      </w:pPr>
      <w:r>
        <w:t xml:space="preserve">To evaluate the system’s ability to handle domain-specific terminology (e.g., business, healthcare, tourism, legal) relevant to Moscow’s professional environments.</w:t>
      </w:r>
    </w:p>
    <w:p>
      <w:pPr>
        <w:numPr>
          <w:ilvl w:val="0"/>
          <w:numId w:val="1001"/>
        </w:numPr>
        <w:pStyle w:val="Compact"/>
      </w:pPr>
      <w:r>
        <w:t xml:space="preserve">To assess the latency and reliability of the Translator Interpreter under varying network conditions typical of Moscow’s urban infrastructure.</w:t>
      </w:r>
    </w:p>
    <w:p>
      <w:pPr>
        <w:numPr>
          <w:ilvl w:val="0"/>
          <w:numId w:val="1001"/>
        </w:numPr>
        <w:pStyle w:val="Compact"/>
      </w:pPr>
      <w:r>
        <w:t xml:space="preserve">To gather qualitative feedback from native Russian speakers and international users regarding usability, trust, and perceived cultural appropriateness.</w:t>
      </w:r>
    </w:p>
    <w:p>
      <w:pPr>
        <w:numPr>
          <w:ilvl w:val="0"/>
          <w:numId w:val="1001"/>
        </w:numPr>
        <w:pStyle w:val="Compact"/>
      </w:pPr>
      <w:r>
        <w:t xml:space="preserve">To identify limitations and areas for improvement in the Translator Interpreter’s performance within the Russia Moscow context.</w:t>
      </w:r>
    </w:p>
    <w:p>
      <w:pPr>
        <w:pStyle w:val="FirstParagraph"/>
      </w:pPr>
      <w:r>
        <w:t xml:space="preserve">3. Methodology</w:t>
      </w:r>
    </w:p>
    <w:p>
      <w:pPr>
        <w:pStyle w:val="BodyText"/>
      </w:pPr>
      <w:r>
        <w:t xml:space="preserve">This experiment will employ a mixed-methods approach, combining quantitative metrics with qualitative user feedback. The study will be conducted over a period of six weeks in Moscow, Russia, across multiple locations and scenarios.</w:t>
      </w:r>
    </w:p>
    <w:bookmarkStart w:id="21" w:name="participants"/>
    <w:p>
      <w:pPr>
        <w:pStyle w:val="Heading3"/>
      </w:pPr>
      <w:r>
        <w:t xml:space="preserve">3.1 Participants</w:t>
      </w:r>
    </w:p>
    <w:p>
      <w:pPr>
        <w:pStyle w:val="FirstParagraph"/>
      </w:pPr>
      <w:r>
        <w:t xml:space="preserve">Participants will include:</w:t>
      </w:r>
    </w:p>
    <w:p>
      <w:pPr>
        <w:numPr>
          <w:ilvl w:val="0"/>
          <w:numId w:val="1002"/>
        </w:numPr>
        <w:pStyle w:val="Compact"/>
      </w:pPr>
      <w:r>
        <w:t xml:space="preserve">Native Russian speakers residing in Moscow (n=60).</w:t>
      </w:r>
    </w:p>
    <w:p>
      <w:pPr>
        <w:numPr>
          <w:ilvl w:val="0"/>
          <w:numId w:val="1002"/>
        </w:numPr>
        <w:pStyle w:val="Compact"/>
      </w:pPr>
      <w:r>
        <w:t xml:space="preserve">Non-Russian speakers (English, German, Chinese) visiting or working in Moscow (n=40).</w:t>
      </w:r>
    </w:p>
    <w:p>
      <w:pPr>
        <w:numPr>
          <w:ilvl w:val="0"/>
          <w:numId w:val="1002"/>
        </w:numPr>
        <w:pStyle w:val="Compact"/>
      </w:pPr>
      <w:r>
        <w:t xml:space="preserve">Professional human interpreters for baseline comparison (n=10).</w:t>
      </w:r>
    </w:p>
    <w:p>
      <w:pPr>
        <w:pStyle w:val="FirstParagraph"/>
      </w:pPr>
      <w:r>
        <w:t xml:space="preserve">All participants will provide informed consent and will be briefed on the purpose of the experiment, data usage, and their rights.</w:t>
      </w:r>
    </w:p>
    <w:bookmarkEnd w:id="21"/>
    <w:bookmarkStart w:id="22" w:name="scenarios-and-locations"/>
    <w:p>
      <w:pPr>
        <w:pStyle w:val="Heading3"/>
      </w:pPr>
      <w:r>
        <w:t xml:space="preserve">3.2 Scenarios and Locations</w:t>
      </w:r>
    </w:p>
    <w:p>
      <w:pPr>
        <w:pStyle w:val="FirstParagraph"/>
      </w:pPr>
      <w:r>
        <w:t xml:space="preserve">Testing will occur in diverse Moscow settings to reflect real-world usage:</w:t>
      </w:r>
    </w:p>
    <w:p>
      <w:pPr>
        <w:numPr>
          <w:ilvl w:val="0"/>
          <w:numId w:val="1003"/>
        </w:numPr>
        <w:pStyle w:val="Compact"/>
      </w:pPr>
      <w:r>
        <w:t xml:space="preserve">Business meetings in central Moscow offices.</w:t>
      </w:r>
    </w:p>
    <w:p>
      <w:pPr>
        <w:numPr>
          <w:ilvl w:val="0"/>
          <w:numId w:val="1003"/>
        </w:numPr>
        <w:pStyle w:val="Compact"/>
      </w:pPr>
      <w:r>
        <w:t xml:space="preserve">Medical consultations at selected clinics.</w:t>
      </w:r>
    </w:p>
    <w:p>
      <w:pPr>
        <w:numPr>
          <w:ilvl w:val="0"/>
          <w:numId w:val="1003"/>
        </w:numPr>
        <w:pStyle w:val="Compact"/>
      </w:pPr>
      <w:r>
        <w:t xml:space="preserve">Tourist interactions at major landmarks (e.g., Red Square, Kremlin, Metro stations).</w:t>
      </w:r>
    </w:p>
    <w:p>
      <w:pPr>
        <w:numPr>
          <w:ilvl w:val="0"/>
          <w:numId w:val="1003"/>
        </w:numPr>
        <w:pStyle w:val="Compact"/>
      </w:pPr>
      <w:r>
        <w:t xml:space="preserve">Customer service interactions in retail and hospitality sectors.</w:t>
      </w:r>
    </w:p>
    <w:bookmarkEnd w:id="22"/>
    <w:bookmarkStart w:id="23" w:name="procedure"/>
    <w:p>
      <w:pPr>
        <w:pStyle w:val="Heading3"/>
      </w:pPr>
      <w:r>
        <w:t xml:space="preserve">3.3 Procedure</w:t>
      </w:r>
    </w:p>
    <w:p>
      <w:pPr>
        <w:numPr>
          <w:ilvl w:val="0"/>
          <w:numId w:val="1004"/>
        </w:numPr>
        <w:pStyle w:val="Compact"/>
      </w:pPr>
      <w:r>
        <w:t xml:space="preserve">Participants will be paired based on language and scenario.</w:t>
      </w:r>
    </w:p>
    <w:p>
      <w:pPr>
        <w:numPr>
          <w:ilvl w:val="0"/>
          <w:numId w:val="1004"/>
        </w:numPr>
        <w:pStyle w:val="Compact"/>
      </w:pPr>
      <w:r>
        <w:t xml:space="preserve">Each pair will engage in a structured conversation using the Translator Interpreter device or application.</w:t>
      </w:r>
    </w:p>
    <w:p>
      <w:pPr>
        <w:numPr>
          <w:ilvl w:val="0"/>
          <w:numId w:val="1004"/>
        </w:numPr>
        <w:pStyle w:val="Compact"/>
      </w:pPr>
      <w:r>
        <w:t xml:space="preserve">Conversations will be recorded (audio and, where permitted, video) for later analysis.</w:t>
      </w:r>
    </w:p>
    <w:p>
      <w:pPr>
        <w:numPr>
          <w:ilvl w:val="0"/>
          <w:numId w:val="1004"/>
        </w:numPr>
        <w:pStyle w:val="Compact"/>
      </w:pPr>
      <w:r>
        <w:t xml:space="preserve">Professional interpreters will simultaneously interpret the same conversations for accuracy benchmarking.</w:t>
      </w:r>
    </w:p>
    <w:p>
      <w:pPr>
        <w:numPr>
          <w:ilvl w:val="0"/>
          <w:numId w:val="1004"/>
        </w:numPr>
        <w:pStyle w:val="Compact"/>
      </w:pPr>
      <w:r>
        <w:t xml:space="preserve">Participants will complete post-interaction surveys assessing usability, accuracy perception, and satisfaction.</w:t>
      </w:r>
    </w:p>
    <w:bookmarkEnd w:id="23"/>
    <w:p>
      <w:pPr>
        <w:pStyle w:val="FirstParagraph"/>
      </w:pPr>
      <w:r>
        <w:t xml:space="preserve">4. Data Collection and Analysis</w:t>
      </w:r>
    </w:p>
    <w:p>
      <w:pPr>
        <w:pStyle w:val="BodyText"/>
      </w:pPr>
      <w:r>
        <w:t xml:space="preserve">Data will be collected through:</w:t>
      </w:r>
    </w:p>
    <w:p>
      <w:pPr>
        <w:numPr>
          <w:ilvl w:val="0"/>
          <w:numId w:val="1005"/>
        </w:numPr>
        <w:pStyle w:val="Compact"/>
      </w:pPr>
      <w:r>
        <w:t xml:space="preserve">Audio/video recordings of interactions.</w:t>
      </w:r>
    </w:p>
    <w:p>
      <w:pPr>
        <w:numPr>
          <w:ilvl w:val="0"/>
          <w:numId w:val="1005"/>
        </w:numPr>
        <w:pStyle w:val="Compact"/>
      </w:pPr>
      <w:r>
        <w:t xml:space="preserve">System logs (latency, error rates, connectivity issues).</w:t>
      </w:r>
    </w:p>
    <w:p>
      <w:pPr>
        <w:numPr>
          <w:ilvl w:val="0"/>
          <w:numId w:val="1005"/>
        </w:numPr>
        <w:pStyle w:val="Compact"/>
      </w:pPr>
      <w:r>
        <w:t xml:space="preserve">Survey responses from participants.</w:t>
      </w:r>
    </w:p>
    <w:p>
      <w:pPr>
        <w:numPr>
          <w:ilvl w:val="0"/>
          <w:numId w:val="1005"/>
        </w:numPr>
        <w:pStyle w:val="Compact"/>
      </w:pPr>
      <w:r>
        <w:t xml:space="preserve">Expert evaluations by linguists and interpreters.</w:t>
      </w:r>
    </w:p>
    <w:p>
      <w:pPr>
        <w:pStyle w:val="FirstParagraph"/>
      </w:pPr>
      <w:r>
        <w:t xml:space="preserve">Quantitative analysis will focus on translation accuracy scores, latency measurements, and error categorization. Qualitative analysis will involve thematic coding of survey responses and expert feedback to identify patterns in user experience and cultural appropriateness.</w:t>
      </w:r>
    </w:p>
    <w:p>
      <w:pPr>
        <w:pStyle w:val="BodyText"/>
      </w:pPr>
      <w:r>
        <w:t xml:space="preserve">5. Ethical Considerations</w:t>
      </w:r>
    </w:p>
    <w:p>
      <w:pPr>
        <w:pStyle w:val="BodyText"/>
      </w:pPr>
      <w:r>
        <w:t xml:space="preserve">This experiment adheres to international ethical standards for research involving human subjects. Key considerations include:</w:t>
      </w:r>
    </w:p>
    <w:p>
      <w:pPr>
        <w:numPr>
          <w:ilvl w:val="0"/>
          <w:numId w:val="1006"/>
        </w:numPr>
        <w:pStyle w:val="Compact"/>
      </w:pPr>
      <w:r>
        <w:t xml:space="preserve">Informed consent from all participants.</w:t>
      </w:r>
    </w:p>
    <w:p>
      <w:pPr>
        <w:numPr>
          <w:ilvl w:val="0"/>
          <w:numId w:val="1006"/>
        </w:numPr>
        <w:pStyle w:val="Compact"/>
      </w:pPr>
      <w:r>
        <w:t xml:space="preserve">Confidentiality and anonymization of personal data.</w:t>
      </w:r>
    </w:p>
    <w:p>
      <w:pPr>
        <w:numPr>
          <w:ilvl w:val="0"/>
          <w:numId w:val="1006"/>
        </w:numPr>
        <w:pStyle w:val="Compact"/>
      </w:pPr>
      <w:r>
        <w:t xml:space="preserve">Secure storage and handling of audio/video recordings.</w:t>
      </w:r>
    </w:p>
    <w:p>
      <w:pPr>
        <w:numPr>
          <w:ilvl w:val="0"/>
          <w:numId w:val="1006"/>
        </w:numPr>
        <w:pStyle w:val="Compact"/>
      </w:pPr>
      <w:r>
        <w:t xml:space="preserve">Right to withdraw from the study at any time without penalty.</w:t>
      </w:r>
    </w:p>
    <w:p>
      <w:pPr>
        <w:numPr>
          <w:ilvl w:val="0"/>
          <w:numId w:val="1006"/>
        </w:numPr>
        <w:pStyle w:val="Compact"/>
      </w:pPr>
      <w:r>
        <w:t xml:space="preserve">Compliance with Russian federal laws on data protection and privacy.</w:t>
      </w:r>
    </w:p>
    <w:p>
      <w:pPr>
        <w:pStyle w:val="FirstParagraph"/>
      </w:pPr>
      <w:r>
        <w:t xml:space="preserve">6. Risk Management</w:t>
      </w:r>
    </w:p>
    <w:p>
      <w:pPr>
        <w:pStyle w:val="BodyText"/>
      </w:pPr>
      <w:r>
        <w:t xml:space="preserve">Potential risks include:</w:t>
      </w:r>
    </w:p>
    <w:p>
      <w:pPr>
        <w:numPr>
          <w:ilvl w:val="0"/>
          <w:numId w:val="1007"/>
        </w:numPr>
        <w:pStyle w:val="Compact"/>
      </w:pPr>
      <w:r>
        <w:t xml:space="preserve">Miscommunication due to translation errors in critical settings (e.g., medical).</w:t>
      </w:r>
    </w:p>
    <w:p>
      <w:pPr>
        <w:numPr>
          <w:ilvl w:val="0"/>
          <w:numId w:val="1007"/>
        </w:numPr>
        <w:pStyle w:val="Compact"/>
      </w:pPr>
      <w:r>
        <w:t xml:space="preserve">Technical failures or connectivity issues.</w:t>
      </w:r>
    </w:p>
    <w:p>
      <w:pPr>
        <w:numPr>
          <w:ilvl w:val="0"/>
          <w:numId w:val="1007"/>
        </w:numPr>
        <w:pStyle w:val="Compact"/>
      </w:pPr>
      <w:r>
        <w:t xml:space="preserve">Participant discomfort or privacy concerns.</w:t>
      </w:r>
    </w:p>
    <w:p>
      <w:pPr>
        <w:pStyle w:val="FirstParagraph"/>
      </w:pPr>
      <w:r>
        <w:t xml:space="preserve">Mitigation strategies include:</w:t>
      </w:r>
    </w:p>
    <w:p>
      <w:pPr>
        <w:numPr>
          <w:ilvl w:val="0"/>
          <w:numId w:val="1008"/>
        </w:numPr>
        <w:pStyle w:val="Compact"/>
      </w:pPr>
      <w:r>
        <w:t xml:space="preserve">Presence of human interpreters for verification in high-stakes scenarios.</w:t>
      </w:r>
    </w:p>
    <w:p>
      <w:pPr>
        <w:numPr>
          <w:ilvl w:val="0"/>
          <w:numId w:val="1008"/>
        </w:numPr>
        <w:pStyle w:val="Compact"/>
      </w:pPr>
      <w:r>
        <w:t xml:space="preserve">Backup communication methods and technical support on-site.</w:t>
      </w:r>
    </w:p>
    <w:p>
      <w:pPr>
        <w:numPr>
          <w:ilvl w:val="0"/>
          <w:numId w:val="1008"/>
        </w:numPr>
        <w:pStyle w:val="Compact"/>
      </w:pPr>
      <w:r>
        <w:t xml:space="preserve">Clear communication of risks and voluntary participation.</w:t>
      </w:r>
    </w:p>
    <w:p>
      <w:pPr>
        <w:pStyle w:val="FirstParagraph"/>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Recruitment, training, equipment setup</w:t>
            </w:r>
          </w:p>
        </w:tc>
      </w:tr>
      <w:tr>
        <w:tc>
          <w:tcPr/>
          <w:p>
            <w:pPr>
              <w:pStyle w:val="Compact"/>
              <w:jc w:val="left"/>
            </w:pPr>
            <w:r>
              <w:t xml:space="preserve">Data Collection</w:t>
            </w:r>
          </w:p>
        </w:tc>
        <w:tc>
          <w:tcPr/>
          <w:p>
            <w:pPr>
              <w:pStyle w:val="Compact"/>
              <w:jc w:val="left"/>
            </w:pPr>
            <w:r>
              <w:t xml:space="preserve">4 weeks</w:t>
            </w:r>
          </w:p>
        </w:tc>
        <w:tc>
          <w:tcPr/>
          <w:p>
            <w:pPr>
              <w:pStyle w:val="Compact"/>
              <w:jc w:val="left"/>
            </w:pPr>
            <w:r>
              <w:t xml:space="preserve">Conducting experiments across Moscow locations</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processing, evaluation, reporting</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Final report and recommendations</w:t>
            </w:r>
          </w:p>
        </w:tc>
      </w:tr>
    </w:tbl>
    <w:p>
      <w:pPr>
        <w:pStyle w:val="BodyText"/>
      </w:pPr>
      <w:r>
        <w:t xml:space="preserve">8. Conclusion</w:t>
      </w:r>
    </w:p>
    <w:p>
      <w:pPr>
        <w:pStyle w:val="BodyText"/>
      </w:pPr>
      <w:r>
        <w:t xml:space="preserve">This Experiment Protocol provides a structured framework for evaluating the performance of a Translator Interpreter in the complex, multilingual environment of Russia Moscow. By combining rigorous quantitative metrics with rich qualitative insights, this study aims to advance the reliability and cultural sensitivity of translation technologies, ultimately enhancing communication across linguistic boundaries in one of the world’s most dynamic cities.</w:t>
      </w:r>
    </w:p>
    <w:p>
      <w:pPr>
        <w:pStyle w:val="BodyText"/>
      </w:pPr>
      <w:r>
        <w:t xml:space="preserve">This document is confidential and intended solely for the use of authorized personnel involved in the Experiment Protocol: Translator Interpreter in Russia Moscow. Unauthorized distribution or use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Russia Moscow</dc:title>
  <dc:creator/>
  <dc:language>en</dc:language>
  <cp:keywords/>
  <dcterms:created xsi:type="dcterms:W3CDTF">2026-10-10T04:32:52Z</dcterms:created>
  <dcterms:modified xsi:type="dcterms:W3CDTF">2026-10-10T04:32:52Z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