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Singapore</w:t>
      </w:r>
      <w:r>
        <w:t xml:space="preserve"> </w:t>
      </w:r>
      <w:r>
        <w:t xml:space="preserve">Singapore</w:t>
      </w:r>
    </w:p>
    <w:bookmarkStart w:id="36" w:name="Xfd9a78b0e51e433d47bb9aeab1314b6a7e1dcba"/>
    <w:p>
      <w:pPr>
        <w:pStyle w:val="Heading1"/>
      </w:pPr>
      <w:r>
        <w:t xml:space="preserve">Experiment Protocol: Evaluation of Translator Interpreter Systems in Singapore Singapore</w:t>
      </w:r>
    </w:p>
    <w:p>
      <w:pPr>
        <w:pStyle w:val="FirstParagraph"/>
      </w:pPr>
      <w:r>
        <w:rPr>
          <w:bCs/>
          <w:b/>
        </w:rPr>
        <w:t xml:space="preserve">Protocol ID:</w:t>
      </w:r>
      <w:r>
        <w:t xml:space="preserve"> </w:t>
      </w:r>
      <w:r>
        <w:t xml:space="preserve">TI-SG-2024-001</w:t>
      </w:r>
      <w:r>
        <w:br/>
      </w:r>
      <w:r>
        <w:rPr>
          <w:bCs/>
          <w:b/>
        </w:rPr>
        <w:t xml:space="preserve">Date:</w:t>
      </w:r>
      <w:r>
        <w:t xml:space="preserve"> </w:t>
      </w:r>
      <w:r>
        <w:t xml:space="preserve">October 2024</w:t>
      </w:r>
      <w:r>
        <w:br/>
      </w:r>
      <w:r>
        <w:rPr>
          <w:bCs/>
          <w:b/>
        </w:rPr>
        <w:t xml:space="preserve">Location:</w:t>
      </w:r>
      <w:r>
        <w:t xml:space="preserve"> </w:t>
      </w:r>
      <w:r>
        <w:t xml:space="preserve">Singapore Singapore</w:t>
      </w:r>
      <w:r>
        <w:br/>
      </w:r>
      <w:r>
        <w:rPr>
          <w:bCs/>
          <w:b/>
        </w:rPr>
        <w:t xml:space="preserve">Subject:</w:t>
      </w:r>
      <w:r>
        <w:t xml:space="preserve"> </w:t>
      </w:r>
      <w:r>
        <w:t xml:space="preserve">Translator Interpreter Performance Assessment</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accuracy, and cultural appropriateness of Translator Interpreter systems within the unique linguistic environment of Singapore Singapore. As a global hub with four official languages—English, Mandarin, Malay, and Tamil—Singapore Singapore presents a complex multilingual landscape that demands rigorous testing of translation and interpretation technologies.</w:t>
      </w:r>
    </w:p>
    <w:p>
      <w:pPr>
        <w:pStyle w:val="BodyText"/>
      </w:pPr>
      <w:r>
        <w:t xml:space="preserve">The primary objective is to assess how well Translator Interpreter tools handle code-switching, Singlish colloquialisms, technical terminology, and culturally specific references that are prevalent in Singapore Singapore. This protocol ensures standardized evaluation procedures that align with local regulatory requirements and linguistic diversity.</w:t>
      </w:r>
    </w:p>
    <w:bookmarkEnd w:id="20"/>
    <w:bookmarkStart w:id="21" w:name="objectives"/>
    <w:p>
      <w:pPr>
        <w:pStyle w:val="Heading2"/>
      </w:pPr>
      <w:r>
        <w:t xml:space="preserve">2. Objectives</w:t>
      </w:r>
    </w:p>
    <w:p>
      <w:pPr>
        <w:pStyle w:val="FirstParagraph"/>
      </w:pPr>
      <w:r>
        <w:t xml:space="preserve">The Experiment Protocol aims to achieve the following objectives:</w:t>
      </w:r>
    </w:p>
    <w:p>
      <w:pPr>
        <w:numPr>
          <w:ilvl w:val="0"/>
          <w:numId w:val="1001"/>
        </w:numPr>
        <w:pStyle w:val="Compact"/>
      </w:pPr>
      <w:r>
        <w:t xml:space="preserve">Evaluate the accuracy of Translator Interpreter systems in translating between Singapore Singapore's four official languages.</w:t>
      </w:r>
    </w:p>
    <w:p>
      <w:pPr>
        <w:numPr>
          <w:ilvl w:val="0"/>
          <w:numId w:val="1001"/>
        </w:numPr>
        <w:pStyle w:val="Compact"/>
      </w:pPr>
      <w:r>
        <w:t xml:space="preserve">Assess the ability of Translator Interpreter tools to handle Singlish and local dialects commonly used in Singapore Singapore.</w:t>
      </w:r>
    </w:p>
    <w:p>
      <w:pPr>
        <w:numPr>
          <w:ilvl w:val="0"/>
          <w:numId w:val="1001"/>
        </w:numPr>
        <w:pStyle w:val="Compact"/>
      </w:pPr>
      <w:r>
        <w:t xml:space="preserve">Determine the latency and response time of Translator Interpreter systems in real-time interpretation scenarios.</w:t>
      </w:r>
    </w:p>
    <w:p>
      <w:pPr>
        <w:numPr>
          <w:ilvl w:val="0"/>
          <w:numId w:val="1001"/>
        </w:numPr>
        <w:pStyle w:val="Compact"/>
      </w:pPr>
      <w:r>
        <w:t xml:space="preserve">Measure user satisfaction and trust in Translator Interpreter outputs among diverse demographic groups in Singapore Singapore.</w:t>
      </w:r>
    </w:p>
    <w:p>
      <w:pPr>
        <w:numPr>
          <w:ilvl w:val="0"/>
          <w:numId w:val="1001"/>
        </w:numPr>
        <w:pStyle w:val="Compact"/>
      </w:pPr>
      <w:r>
        <w:t xml:space="preserve">Identify areas where Translator Interpreter systems fail to capture cultural nuances specific to Singapore Singapore.</w:t>
      </w:r>
    </w:p>
    <w:bookmarkEnd w:id="21"/>
    <w:bookmarkStart w:id="22" w:name="scope-and-context"/>
    <w:p>
      <w:pPr>
        <w:pStyle w:val="Heading2"/>
      </w:pPr>
      <w:r>
        <w:t xml:space="preserve">3. Scope and Context</w:t>
      </w:r>
    </w:p>
    <w:p>
      <w:pPr>
        <w:pStyle w:val="FirstParagraph"/>
      </w:pPr>
      <w:r>
        <w:t xml:space="preserve">This Experiment Protocol applies specifically to Translator Interpreter systems deployed or intended for use in Singapore Singapore. The scope includes:</w:t>
      </w:r>
    </w:p>
    <w:p>
      <w:pPr>
        <w:numPr>
          <w:ilvl w:val="0"/>
          <w:numId w:val="1002"/>
        </w:numPr>
        <w:pStyle w:val="Compact"/>
      </w:pPr>
      <w:r>
        <w:t xml:space="preserve">Text-based translation services</w:t>
      </w:r>
    </w:p>
    <w:p>
      <w:pPr>
        <w:numPr>
          <w:ilvl w:val="0"/>
          <w:numId w:val="1002"/>
        </w:numPr>
        <w:pStyle w:val="Compact"/>
      </w:pPr>
      <w:r>
        <w:t xml:space="preserve">Speech-to-speech interpretation tools</w:t>
      </w:r>
    </w:p>
    <w:p>
      <w:pPr>
        <w:numPr>
          <w:ilvl w:val="0"/>
          <w:numId w:val="1002"/>
        </w:numPr>
        <w:pStyle w:val="Compact"/>
      </w:pPr>
      <w:r>
        <w:t xml:space="preserve">Real-time captioning and translation applications</w:t>
      </w:r>
    </w:p>
    <w:p>
      <w:pPr>
        <w:numPr>
          <w:ilvl w:val="0"/>
          <w:numId w:val="1002"/>
        </w:numPr>
        <w:pStyle w:val="Compact"/>
      </w:pPr>
      <w:r>
        <w:t xml:space="preserve">Hybrid human-AI Translator Interpreter workflows</w:t>
      </w:r>
    </w:p>
    <w:p>
      <w:pPr>
        <w:pStyle w:val="FirstParagraph"/>
      </w:pPr>
      <w:r>
        <w:t xml:space="preserve">All testing will be conducted within Singapore Singapore to ensure environmental authenticity, including local accent variations, background noise conditions, and cultural contexts.</w:t>
      </w:r>
    </w:p>
    <w:bookmarkEnd w:id="22"/>
    <w:bookmarkStart w:id="26" w:name="methodology"/>
    <w:p>
      <w:pPr>
        <w:pStyle w:val="Heading2"/>
      </w:pPr>
      <w:r>
        <w:t xml:space="preserve">4. Methodology</w:t>
      </w:r>
    </w:p>
    <w:bookmarkStart w:id="23" w:name="participant-recruitment"/>
    <w:p>
      <w:pPr>
        <w:pStyle w:val="Heading3"/>
      </w:pPr>
      <w:r>
        <w:t xml:space="preserve">4.1 Participant Recruitment</w:t>
      </w:r>
    </w:p>
    <w:p>
      <w:pPr>
        <w:pStyle w:val="FirstParagraph"/>
      </w:pPr>
      <w:r>
        <w:t xml:space="preserve">Participants will be recruited from diverse communities across Singapore Singapore, ensuring representation from:</w:t>
      </w:r>
    </w:p>
    <w:p>
      <w:pPr>
        <w:numPr>
          <w:ilvl w:val="0"/>
          <w:numId w:val="1003"/>
        </w:numPr>
        <w:pStyle w:val="Compact"/>
      </w:pPr>
      <w:r>
        <w:t xml:space="preserve">Chinese-speaking communities (Mandarin, Hokkien, Cantonese speakers)</w:t>
      </w:r>
    </w:p>
    <w:p>
      <w:pPr>
        <w:numPr>
          <w:ilvl w:val="0"/>
          <w:numId w:val="1003"/>
        </w:numPr>
        <w:pStyle w:val="Compact"/>
      </w:pPr>
      <w:r>
        <w:t xml:space="preserve">Malay-speaking communities</w:t>
      </w:r>
    </w:p>
    <w:p>
      <w:pPr>
        <w:numPr>
          <w:ilvl w:val="0"/>
          <w:numId w:val="1003"/>
        </w:numPr>
        <w:pStyle w:val="Compact"/>
      </w:pPr>
      <w:r>
        <w:t xml:space="preserve">Tamil-speaking communities</w:t>
      </w:r>
    </w:p>
    <w:p>
      <w:pPr>
        <w:numPr>
          <w:ilvl w:val="0"/>
          <w:numId w:val="1003"/>
        </w:numPr>
        <w:pStyle w:val="Compact"/>
      </w:pPr>
      <w:r>
        <w:t xml:space="preserve">English-speaking communities</w:t>
      </w:r>
    </w:p>
    <w:p>
      <w:pPr>
        <w:numPr>
          <w:ilvl w:val="0"/>
          <w:numId w:val="1003"/>
        </w:numPr>
        <w:pStyle w:val="Compact"/>
      </w:pPr>
      <w:r>
        <w:t xml:space="preserve">Multilingual individuals who frequently code-switch in Singapore Singapore</w:t>
      </w:r>
    </w:p>
    <w:p>
      <w:pPr>
        <w:pStyle w:val="FirstParagraph"/>
      </w:pPr>
      <w:r>
        <w:t xml:space="preserve">A minimum of 200 participants will be involved, with balanced demographic distribution across age, education level, and language proficiency.</w:t>
      </w:r>
    </w:p>
    <w:bookmarkEnd w:id="23"/>
    <w:bookmarkStart w:id="24" w:name="test-materials"/>
    <w:p>
      <w:pPr>
        <w:pStyle w:val="Heading3"/>
      </w:pPr>
      <w:r>
        <w:t xml:space="preserve">4.2 Test Materials</w:t>
      </w:r>
    </w:p>
    <w:p>
      <w:pPr>
        <w:pStyle w:val="FirstParagraph"/>
      </w:pPr>
      <w:r>
        <w:t xml:space="preserve">The Experiment Protocol requires the development of standardized test materials that reflect real-world usage in Singapore Singapore:</w:t>
      </w:r>
    </w:p>
    <w:p>
      <w:pPr>
        <w:numPr>
          <w:ilvl w:val="0"/>
          <w:numId w:val="1004"/>
        </w:numPr>
        <w:pStyle w:val="Compact"/>
      </w:pPr>
      <w:r>
        <w:t xml:space="preserve">Medical consultation dialogues</w:t>
      </w:r>
    </w:p>
    <w:p>
      <w:pPr>
        <w:numPr>
          <w:ilvl w:val="0"/>
          <w:numId w:val="1004"/>
        </w:numPr>
        <w:pStyle w:val="Compact"/>
      </w:pPr>
      <w:r>
        <w:t xml:space="preserve">Legal document translations</w:t>
      </w:r>
    </w:p>
    <w:p>
      <w:pPr>
        <w:numPr>
          <w:ilvl w:val="0"/>
          <w:numId w:val="1004"/>
        </w:numPr>
        <w:pStyle w:val="Compact"/>
      </w:pPr>
      <w:r>
        <w:t xml:space="preserve">Customer service interactions</w:t>
      </w:r>
    </w:p>
    <w:p>
      <w:pPr>
        <w:numPr>
          <w:ilvl w:val="0"/>
          <w:numId w:val="1004"/>
        </w:numPr>
        <w:pStyle w:val="Compact"/>
      </w:pPr>
      <w:r>
        <w:t xml:space="preserve">Government service communications</w:t>
      </w:r>
    </w:p>
    <w:p>
      <w:pPr>
        <w:numPr>
          <w:ilvl w:val="0"/>
          <w:numId w:val="1004"/>
        </w:numPr>
        <w:pStyle w:val="Compact"/>
      </w:pPr>
      <w:r>
        <w:t xml:space="preserve">Everyday conversational exchanges featuring Singlish</w:t>
      </w:r>
    </w:p>
    <w:p>
      <w:pPr>
        <w:numPr>
          <w:ilvl w:val="0"/>
          <w:numId w:val="1004"/>
        </w:numPr>
        <w:pStyle w:val="Compact"/>
      </w:pPr>
      <w:r>
        <w:t xml:space="preserve">Technical and business presentations</w:t>
      </w:r>
    </w:p>
    <w:bookmarkEnd w:id="24"/>
    <w:bookmarkStart w:id="25" w:name="evaluation-metrics"/>
    <w:p>
      <w:pPr>
        <w:pStyle w:val="Heading3"/>
      </w:pPr>
      <w:r>
        <w:t xml:space="preserve">4.3 Evaluation Metrics</w:t>
      </w:r>
    </w:p>
    <w:p>
      <w:pPr>
        <w:pStyle w:val="FirstParagraph"/>
      </w:pPr>
      <w:r>
        <w:t xml:space="preserve">Translator Interpreter performance will be measured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BLEU Score</w:t>
            </w:r>
          </w:p>
        </w:tc>
        <w:tc>
          <w:tcPr/>
          <w:p>
            <w:pPr>
              <w:pStyle w:val="Compact"/>
              <w:jc w:val="left"/>
            </w:pPr>
            <w:r>
              <w:t xml:space="preserve">Machine translation quality assessment</w:t>
            </w:r>
          </w:p>
        </w:tc>
        <w:tc>
          <w:tcPr/>
          <w:p>
            <w:pPr>
              <w:pStyle w:val="Compact"/>
              <w:jc w:val="left"/>
            </w:pPr>
            <w:r>
              <w:t xml:space="preserve">&gt; 35</w:t>
            </w:r>
          </w:p>
        </w:tc>
      </w:tr>
      <w:tr>
        <w:tc>
          <w:tcPr/>
          <w:p>
            <w:pPr>
              <w:pStyle w:val="Compact"/>
              <w:jc w:val="left"/>
            </w:pPr>
            <w:r>
              <w:t xml:space="preserve">Human Evaluation Score</w:t>
            </w:r>
          </w:p>
        </w:tc>
        <w:tc>
          <w:tcPr/>
          <w:p>
            <w:pPr>
              <w:pStyle w:val="Compact"/>
              <w:jc w:val="left"/>
            </w:pPr>
            <w:r>
              <w:t xml:space="preserve">Expert and user ratings on accuracy and fluency</w:t>
            </w:r>
          </w:p>
        </w:tc>
        <w:tc>
          <w:tcPr/>
          <w:p>
            <w:pPr>
              <w:pStyle w:val="Compact"/>
              <w:jc w:val="left"/>
            </w:pPr>
            <w:r>
              <w:t xml:space="preserve">&gt; 4.0/5.0</w:t>
            </w:r>
          </w:p>
        </w:tc>
      </w:tr>
      <w:tr>
        <w:tc>
          <w:tcPr/>
          <w:p>
            <w:pPr>
              <w:pStyle w:val="Compact"/>
              <w:jc w:val="left"/>
            </w:pPr>
            <w:r>
              <w:t xml:space="preserve">Latency</w:t>
            </w:r>
          </w:p>
        </w:tc>
        <w:tc>
          <w:tcPr/>
          <w:p>
            <w:pPr>
              <w:pStyle w:val="Compact"/>
              <w:jc w:val="left"/>
            </w:pPr>
            <w:r>
              <w:t xml:space="preserve">Time delay in real-time interpretation</w:t>
            </w:r>
          </w:p>
        </w:tc>
        <w:tc>
          <w:tcPr/>
          <w:p>
            <w:pPr>
              <w:pStyle w:val="Compact"/>
              <w:jc w:val="left"/>
            </w:pPr>
            <w:r>
              <w:t xml:space="preserve">&lt; 500ms</w:t>
            </w:r>
          </w:p>
        </w:tc>
      </w:tr>
      <w:tr>
        <w:tc>
          <w:tcPr/>
          <w:p>
            <w:pPr>
              <w:pStyle w:val="Compact"/>
              <w:jc w:val="left"/>
            </w:pPr>
            <w:r>
              <w:t xml:space="preserve">Cultural Appropriateness</w:t>
            </w:r>
          </w:p>
        </w:tc>
        <w:tc>
          <w:tcPr/>
          <w:p>
            <w:pPr>
              <w:pStyle w:val="Compact"/>
              <w:jc w:val="left"/>
            </w:pPr>
            <w:r>
              <w:t xml:space="preserve">Assessment of cultural sensitivity and relevance</w:t>
            </w:r>
          </w:p>
        </w:tc>
        <w:tc>
          <w:tcPr/>
          <w:p>
            <w:pPr>
              <w:pStyle w:val="Compact"/>
              <w:jc w:val="left"/>
            </w:pPr>
            <w:r>
              <w:t xml:space="preserve">&gt; 85%</w:t>
            </w:r>
          </w:p>
        </w:tc>
      </w:tr>
      <w:tr>
        <w:tc>
          <w:tcPr/>
          <w:p>
            <w:pPr>
              <w:pStyle w:val="Compact"/>
              <w:jc w:val="left"/>
            </w:pPr>
            <w:r>
              <w:t xml:space="preserve">Error Rate</w:t>
            </w:r>
          </w:p>
        </w:tc>
        <w:tc>
          <w:tcPr/>
          <w:p>
            <w:pPr>
              <w:pStyle w:val="Compact"/>
              <w:jc w:val="left"/>
            </w:pPr>
            <w:r>
              <w:t xml:space="preserve">Frequency of critical translation errors</w:t>
            </w:r>
          </w:p>
        </w:tc>
        <w:tc>
          <w:tcPr/>
          <w:p>
            <w:pPr>
              <w:pStyle w:val="Compact"/>
              <w:jc w:val="left"/>
            </w:pPr>
            <w:r>
              <w:t xml:space="preserve">&lt; 2%</w:t>
            </w:r>
          </w:p>
        </w:tc>
      </w:tr>
    </w:tbl>
    <w:bookmarkEnd w:id="25"/>
    <w:bookmarkEnd w:id="26"/>
    <w:bookmarkStart w:id="31" w:name="experimental-procedures"/>
    <w:p>
      <w:pPr>
        <w:pStyle w:val="Heading2"/>
      </w:pPr>
      <w:r>
        <w:t xml:space="preserve">5. Experimental Procedures</w:t>
      </w:r>
    </w:p>
    <w:bookmarkStart w:id="27" w:name="phase-1-baseline-testing"/>
    <w:p>
      <w:pPr>
        <w:pStyle w:val="Heading3"/>
      </w:pPr>
      <w:r>
        <w:t xml:space="preserve">5.1 Phase 1: Baseline Testing</w:t>
      </w:r>
    </w:p>
    <w:p>
      <w:pPr>
        <w:pStyle w:val="FirstParagraph"/>
      </w:pPr>
      <w:r>
        <w:t xml:space="preserve">Translator Interpreter systems will undergo initial testing using standardized corpora developed specifically for Singapore Singapore linguistic patterns. This phase establishes baseline performance metrics before real-world deployment testing.</w:t>
      </w:r>
    </w:p>
    <w:bookmarkEnd w:id="27"/>
    <w:bookmarkStart w:id="28" w:name="phase-2-controlled-environment-testing"/>
    <w:p>
      <w:pPr>
        <w:pStyle w:val="Heading3"/>
      </w:pPr>
      <w:r>
        <w:t xml:space="preserve">5.2 Phase 2: Controlled Environment Testing</w:t>
      </w:r>
    </w:p>
    <w:p>
      <w:pPr>
        <w:pStyle w:val="FirstParagraph"/>
      </w:pPr>
      <w:r>
        <w:t xml:space="preserve">In this phase, participants in Singapore Singapore will interact with Translator Interpreter systems in controlled settings. Scenarios will include simulated medical appointments, legal consultations, and customer service interactions. All sessions will be recorded for subsequent analysis.</w:t>
      </w:r>
    </w:p>
    <w:bookmarkEnd w:id="28"/>
    <w:bookmarkStart w:id="29" w:name="phase-3-real-world-deployment-testing"/>
    <w:p>
      <w:pPr>
        <w:pStyle w:val="Heading3"/>
      </w:pPr>
      <w:r>
        <w:t xml:space="preserve">5.3 Phase 3: Real-World Deployment Testing</w:t>
      </w:r>
    </w:p>
    <w:p>
      <w:pPr>
        <w:pStyle w:val="FirstParagraph"/>
      </w:pPr>
      <w:r>
        <w:t xml:space="preserve">Translator Interpreter systems will be deployed in actual service environments across Singapore Singapore, including hospitals, government agencies, and commercial establishments. Performance will be monitored continuously over a period of three months.</w:t>
      </w:r>
    </w:p>
    <w:bookmarkEnd w:id="29"/>
    <w:bookmarkStart w:id="30" w:name="phase-4-comparative-analysis"/>
    <w:p>
      <w:pPr>
        <w:pStyle w:val="Heading3"/>
      </w:pPr>
      <w:r>
        <w:t xml:space="preserve">5.4 Phase 4: Comparative Analysis</w:t>
      </w:r>
    </w:p>
    <w:p>
      <w:pPr>
        <w:pStyle w:val="FirstParagraph"/>
      </w:pPr>
      <w:r>
        <w:t xml:space="preserve">Results from Translator Interpreter systems will be compared against professional human interpreters working in Singapore Singapore. This comparison will highlight strengths, weaknesses, and areas requiring improvement.</w:t>
      </w:r>
    </w:p>
    <w:bookmarkEnd w:id="30"/>
    <w:bookmarkEnd w:id="31"/>
    <w:bookmarkStart w:id="32" w:name="ethical-considerations"/>
    <w:p>
      <w:pPr>
        <w:pStyle w:val="Heading2"/>
      </w:pPr>
      <w:r>
        <w:t xml:space="preserve">6. Ethical Considerations</w:t>
      </w:r>
    </w:p>
    <w:p>
      <w:pPr>
        <w:pStyle w:val="FirstParagraph"/>
      </w:pPr>
      <w:r>
        <w:t xml:space="preserve">This Experiment Protocol adheres to ethical guidelines established by relevant authorities in Singapore Singapore:</w:t>
      </w:r>
    </w:p>
    <w:p>
      <w:pPr>
        <w:numPr>
          <w:ilvl w:val="0"/>
          <w:numId w:val="1005"/>
        </w:numPr>
        <w:pStyle w:val="Compact"/>
      </w:pPr>
      <w:r>
        <w:t xml:space="preserve">Informed consent will be obtained from all participants.</w:t>
      </w:r>
    </w:p>
    <w:p>
      <w:pPr>
        <w:numPr>
          <w:ilvl w:val="0"/>
          <w:numId w:val="1005"/>
        </w:numPr>
        <w:pStyle w:val="Compact"/>
      </w:pPr>
      <w:r>
        <w:t xml:space="preserve">Personal data will be handled in compliance with Singapore Singapore's Personal Data Protection Act (PDPA).</w:t>
      </w:r>
    </w:p>
    <w:p>
      <w:pPr>
        <w:numPr>
          <w:ilvl w:val="0"/>
          <w:numId w:val="1005"/>
        </w:numPr>
        <w:pStyle w:val="Compact"/>
      </w:pPr>
      <w:r>
        <w:t xml:space="preserve">Vulnerable populations will receive additional protections.</w:t>
      </w:r>
    </w:p>
    <w:p>
      <w:pPr>
        <w:numPr>
          <w:ilvl w:val="0"/>
          <w:numId w:val="1005"/>
        </w:numPr>
        <w:pStyle w:val="Compact"/>
      </w:pPr>
      <w:r>
        <w:t xml:space="preserve">Participants may withdraw from the study at any time without penalty.</w:t>
      </w:r>
    </w:p>
    <w:p>
      <w:pPr>
        <w:numPr>
          <w:ilvl w:val="0"/>
          <w:numId w:val="1005"/>
        </w:numPr>
        <w:pStyle w:val="Compact"/>
      </w:pPr>
      <w:r>
        <w:t xml:space="preserve">Confidentiality of all communications processed by Translator Interpreter systems will be maintained.</w:t>
      </w:r>
    </w:p>
    <w:bookmarkEnd w:id="32"/>
    <w:bookmarkStart w:id="33" w:name="data-analysis-and-reporting"/>
    <w:p>
      <w:pPr>
        <w:pStyle w:val="Heading2"/>
      </w:pPr>
      <w:r>
        <w:t xml:space="preserve">7. Data Analysis and Reporting</w:t>
      </w:r>
    </w:p>
    <w:p>
      <w:pPr>
        <w:pStyle w:val="FirstParagraph"/>
      </w:pPr>
      <w:r>
        <w:t xml:space="preserve">Data collected during the Experiment Protocol will be analyzed using statistical methods appropriate for linguistic evaluation. Results will be compiled into comprehensive reports that include:</w:t>
      </w:r>
    </w:p>
    <w:p>
      <w:pPr>
        <w:numPr>
          <w:ilvl w:val="0"/>
          <w:numId w:val="1006"/>
        </w:numPr>
        <w:pStyle w:val="Compact"/>
      </w:pPr>
      <w:r>
        <w:t xml:space="preserve">Quantitative performance metrics for each Translator Interpreter system</w:t>
      </w:r>
    </w:p>
    <w:p>
      <w:pPr>
        <w:numPr>
          <w:ilvl w:val="0"/>
          <w:numId w:val="1006"/>
        </w:numPr>
        <w:pStyle w:val="Compact"/>
      </w:pPr>
      <w:r>
        <w:t xml:space="preserve">Qualitative assessments from participants and expert evaluators</w:t>
      </w:r>
    </w:p>
    <w:p>
      <w:pPr>
        <w:numPr>
          <w:ilvl w:val="0"/>
          <w:numId w:val="1006"/>
        </w:numPr>
        <w:pStyle w:val="Compact"/>
      </w:pPr>
      <w:r>
        <w:t xml:space="preserve">Identification of systematic errors and biases</w:t>
      </w:r>
    </w:p>
    <w:p>
      <w:pPr>
        <w:numPr>
          <w:ilvl w:val="0"/>
          <w:numId w:val="1006"/>
        </w:numPr>
        <w:pStyle w:val="Compact"/>
      </w:pPr>
      <w:r>
        <w:t xml:space="preserve">Recommendations for improvement specific to Singapore Singapore's linguistic environment</w:t>
      </w:r>
    </w:p>
    <w:p>
      <w:pPr>
        <w:numPr>
          <w:ilvl w:val="0"/>
          <w:numId w:val="1006"/>
        </w:numPr>
        <w:pStyle w:val="Compact"/>
      </w:pPr>
      <w:r>
        <w:t xml:space="preserve">Comparative analysis across different language pairs</w:t>
      </w:r>
    </w:p>
    <w:bookmarkEnd w:id="33"/>
    <w:bookmarkStart w:id="34" w:name="timeline-and-milestones"/>
    <w:p>
      <w:pPr>
        <w:pStyle w:val="Heading2"/>
      </w:pPr>
      <w:r>
        <w:t xml:space="preserve">8. Timeline and Milestones</w:t>
      </w:r>
    </w:p>
    <w:p>
      <w:pPr>
        <w:pStyle w:val="FirstParagraph"/>
      </w:pPr>
      <w:r>
        <w:t xml:space="preserve">The Experiment Protocol will be executed over a six-month period:</w:t>
      </w:r>
    </w:p>
    <w:p>
      <w:pPr>
        <w:numPr>
          <w:ilvl w:val="0"/>
          <w:numId w:val="1007"/>
        </w:numPr>
        <w:pStyle w:val="Compact"/>
      </w:pPr>
      <w:r>
        <w:rPr>
          <w:bCs/>
          <w:b/>
        </w:rPr>
        <w:t xml:space="preserve">Month 1:</w:t>
      </w:r>
      <w:r>
        <w:t xml:space="preserve"> </w:t>
      </w:r>
      <w:r>
        <w:t xml:space="preserve">Preparation, participant recruitment, and test material development</w:t>
      </w:r>
    </w:p>
    <w:p>
      <w:pPr>
        <w:numPr>
          <w:ilvl w:val="0"/>
          <w:numId w:val="1007"/>
        </w:numPr>
        <w:pStyle w:val="Compact"/>
      </w:pPr>
      <w:r>
        <w:rPr>
          <w:bCs/>
          <w:b/>
        </w:rPr>
        <w:t xml:space="preserve">Month 2:</w:t>
      </w:r>
      <w:r>
        <w:t xml:space="preserve"> </w:t>
      </w:r>
      <w:r>
        <w:t xml:space="preserve">Baseline testing and system calibration</w:t>
      </w:r>
    </w:p>
    <w:p>
      <w:pPr>
        <w:numPr>
          <w:ilvl w:val="0"/>
          <w:numId w:val="1007"/>
        </w:numPr>
        <w:pStyle w:val="Compact"/>
      </w:pPr>
      <w:r>
        <w:rPr>
          <w:bCs/>
          <w:b/>
        </w:rPr>
        <w:t xml:space="preserve">Months 3-4:</w:t>
      </w:r>
      <w:r>
        <w:t xml:space="preserve"> </w:t>
      </w:r>
      <w:r>
        <w:t xml:space="preserve">Controlled environment and real-world deployment testing</w:t>
      </w:r>
    </w:p>
    <w:p>
      <w:pPr>
        <w:numPr>
          <w:ilvl w:val="0"/>
          <w:numId w:val="1007"/>
        </w:numPr>
        <w:pStyle w:val="Compact"/>
      </w:pPr>
      <w:r>
        <w:rPr>
          <w:bCs/>
          <w:b/>
        </w:rPr>
        <w:t xml:space="preserve">Month 5:</w:t>
      </w:r>
      <w:r>
        <w:t xml:space="preserve"> </w:t>
      </w:r>
      <w:r>
        <w:t xml:space="preserve">Data collection completion and preliminary analysis</w:t>
      </w:r>
    </w:p>
    <w:p>
      <w:pPr>
        <w:numPr>
          <w:ilvl w:val="0"/>
          <w:numId w:val="1007"/>
        </w:numPr>
        <w:pStyle w:val="Compact"/>
      </w:pPr>
      <w:r>
        <w:rPr>
          <w:bCs/>
          <w:b/>
        </w:rPr>
        <w:t xml:space="preserve">Month 6:</w:t>
      </w:r>
      <w:r>
        <w:t xml:space="preserve"> </w:t>
      </w:r>
      <w:r>
        <w:t xml:space="preserve">Final analysis, reporting, and recommendations</w:t>
      </w:r>
    </w:p>
    <w:bookmarkEnd w:id="34"/>
    <w:bookmarkStart w:id="35" w:name="conclusion"/>
    <w:p>
      <w:pPr>
        <w:pStyle w:val="Heading2"/>
      </w:pPr>
      <w:r>
        <w:t xml:space="preserve">9. Conclusion</w:t>
      </w:r>
    </w:p>
    <w:p>
      <w:pPr>
        <w:pStyle w:val="FirstParagraph"/>
      </w:pPr>
      <w:r>
        <w:t xml:space="preserve">This Experiment Protocol provides a comprehensive framework for evaluating Translator Interpreter systems in the unique multilingual context of Singapore Singapore. By following these standardized procedures, stakeholders can ensure that Translator Interpreter technologies meet the high standards required for effective communication across Singapore Singapore's diverse linguistic communities. The findings from this protocol will contribute to the advancement of translation and interpretation technologies that are culturally sensitive, accurate, and reliable for use in Singapore Singapore.</w:t>
      </w:r>
    </w:p>
    <w:bookmarkEnd w:id="35"/>
    <w:p>
      <w:pPr>
        <w:pStyle w:val="BodyText"/>
      </w:pPr>
      <w:r>
        <w:rPr>
          <w:bCs/>
          <w:b/>
        </w:rPr>
        <w:t xml:space="preserve">Document Control:</w:t>
      </w:r>
      <w:r>
        <w:t xml:space="preserve"> </w:t>
      </w:r>
      <w:r>
        <w:t xml:space="preserve">This Experiment Protocol is the property of the research organization and should be handled according to confidentiality requirements. All references to Translator Interpreter and Singapore Singapore throughout this document are intentional and reflect the specific scope of this evaluation.</w:t>
      </w:r>
    </w:p>
    <w:p>
      <w:pPr>
        <w:pStyle w:val="BodyText"/>
      </w:pPr>
      <w:r>
        <w:rPr>
          <w:bCs/>
          <w:b/>
        </w:rPr>
        <w:t xml:space="preserve">Version:</w:t>
      </w:r>
      <w:r>
        <w:t xml:space="preserve"> </w:t>
      </w:r>
      <w:r>
        <w:t xml:space="preserve">1.0 |</w:t>
      </w:r>
      <w:r>
        <w:t xml:space="preserve"> </w:t>
      </w:r>
      <w:r>
        <w:rPr>
          <w:bCs/>
          <w:b/>
        </w:rPr>
        <w:t xml:space="preserve">Approved By:</w:t>
      </w:r>
      <w:r>
        <w:t xml:space="preserve"> </w:t>
      </w:r>
      <w:r>
        <w:t xml:space="preserve">Research Ethics Committee |</w:t>
      </w:r>
      <w:r>
        <w:t xml:space="preserve"> </w:t>
      </w:r>
      <w:r>
        <w:rPr>
          <w:bCs/>
          <w:b/>
        </w:rPr>
        <w:t xml:space="preserve">Date:</w:t>
      </w:r>
      <w:r>
        <w:t xml:space="preserve"> </w:t>
      </w:r>
      <w:r>
        <w:t xml:space="preserve">October 2024</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Singapore Singapore</dc:title>
  <dc:creator/>
  <dc:language>en</dc:language>
  <cp:keywords/>
  <dcterms:created xsi:type="dcterms:W3CDTF">2026-10-10T01:54:45Z</dcterms:created>
  <dcterms:modified xsi:type="dcterms:W3CDTF">2026-10-10T01:54:45Z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