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d8fda53fb1e5874ca3bc9c5bb9da7bc6b3efc5"/>
    <w:p>
      <w:pPr>
        <w:pStyle w:val="Heading1"/>
      </w:pPr>
      <w:r>
        <w:t xml:space="preserve">Experiment Protocol: Translator Interpreter in United Arab Emirates Abu Dhabi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Arab Emirates, Abu Dhabi</w:t>
      </w:r>
      <w:r>
        <w:br/>
      </w:r>
      <w:r>
        <w:rPr>
          <w:bCs/>
          <w:b/>
        </w:rPr>
        <w:t xml:space="preserve">Subject:</w:t>
      </w:r>
      <w:r>
        <w:t xml:space="preserve"> </w:t>
      </w:r>
      <w:r>
        <w:t xml:space="preserve">Evaluation of Translator Interpreter Performance in Multilingual Environments</w:t>
      </w:r>
    </w:p>
    <w:bookmarkEnd w:id="20"/>
    <w:bookmarkStart w:id="21" w:name="introduction"/>
    <w:p>
      <w:pPr>
        <w:pStyle w:val="Heading2"/>
      </w:pPr>
      <w:r>
        <w:t xml:space="preserve">1. Introduction</w:t>
      </w:r>
    </w:p>
    <w:p>
      <w:pPr>
        <w:pStyle w:val="FirstParagraph"/>
      </w:pPr>
      <w:r>
        <w:t xml:space="preserve">This Experiment Protocol outlines the procedures for assessing the performance of Translator Interpreter services within the diverse linguistic landscape of United Arab Emirates Abu Dhabi. The primary objective is to evaluate the accuracy, cultural sensitivity, and efficiency of Translator Interpreter professionals when facilitating communication across multiple languages, including Arabic, English, Hindi, Urdu, and other regional languages commonly spoken in the region.</w:t>
      </w:r>
    </w:p>
    <w:p>
      <w:pPr>
        <w:pStyle w:val="BodyText"/>
      </w:pPr>
      <w:r>
        <w:t xml:space="preserve">Abu Dhabi, as the capital of the United Arab Emirates, serves as a hub for international business, diplomacy, healthcare, and tourism. The presence of a multicultural population necessitates high-quality translation and interpretation services to ensure effective communication and compliance with local regulations. This protocol aims to establish standardized criteria for evaluating Translator Interpreter performance in this context.</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linguistic accuracy of Translator Interpreter services in real-time and written contexts.</w:t>
      </w:r>
    </w:p>
    <w:p>
      <w:pPr>
        <w:numPr>
          <w:ilvl w:val="0"/>
          <w:numId w:val="1001"/>
        </w:numPr>
        <w:pStyle w:val="Compact"/>
      </w:pPr>
      <w:r>
        <w:t xml:space="preserve">To evaluate the cultural competence of Translator Interpreter professionals in navigating the socio-cultural norms of United Arab Emirates Abu Dhabi.</w:t>
      </w:r>
    </w:p>
    <w:p>
      <w:pPr>
        <w:numPr>
          <w:ilvl w:val="0"/>
          <w:numId w:val="1001"/>
        </w:numPr>
        <w:pStyle w:val="Compact"/>
      </w:pPr>
      <w:r>
        <w:t xml:space="preserve">To measure the efficiency and responsiveness of Translator Interpreter services in high-pressure environments such as healthcare, legal proceedings, and business negotiations.</w:t>
      </w:r>
    </w:p>
    <w:p>
      <w:pPr>
        <w:numPr>
          <w:ilvl w:val="0"/>
          <w:numId w:val="1001"/>
        </w:numPr>
        <w:pStyle w:val="Compact"/>
      </w:pPr>
      <w:r>
        <w:t xml:space="preserve">To identify areas for improvement in training and certification programs for Translator Interpreter professionals operating in the region.</w:t>
      </w:r>
    </w:p>
    <w:bookmarkEnd w:id="22"/>
    <w:bookmarkStart w:id="23" w:name="scope"/>
    <w:p>
      <w:pPr>
        <w:pStyle w:val="Heading2"/>
      </w:pPr>
      <w:r>
        <w:t xml:space="preserve">3. Scope</w:t>
      </w:r>
    </w:p>
    <w:p>
      <w:pPr>
        <w:pStyle w:val="FirstParagraph"/>
      </w:pPr>
      <w:r>
        <w:t xml:space="preserve">This experiment will focus on Translator Interpreter services provided in the following sectors within United Arab Emirates Abu Dhabi:</w:t>
      </w:r>
    </w:p>
    <w:p>
      <w:pPr>
        <w:numPr>
          <w:ilvl w:val="0"/>
          <w:numId w:val="1002"/>
        </w:numPr>
        <w:pStyle w:val="Compact"/>
      </w:pPr>
      <w:r>
        <w:t xml:space="preserve">Healthcare: Patient-provider communication in hospitals and clinics.</w:t>
      </w:r>
    </w:p>
    <w:p>
      <w:pPr>
        <w:numPr>
          <w:ilvl w:val="0"/>
          <w:numId w:val="1002"/>
        </w:numPr>
        <w:pStyle w:val="Compact"/>
      </w:pPr>
      <w:r>
        <w:t xml:space="preserve">Legal: Court proceedings, contract negotiations, and official documentation.</w:t>
      </w:r>
    </w:p>
    <w:p>
      <w:pPr>
        <w:numPr>
          <w:ilvl w:val="0"/>
          <w:numId w:val="1002"/>
        </w:numPr>
        <w:pStyle w:val="Compact"/>
      </w:pPr>
      <w:r>
        <w:t xml:space="preserve">Business: Corporate meetings, conferences, and client interactions.</w:t>
      </w:r>
    </w:p>
    <w:p>
      <w:pPr>
        <w:numPr>
          <w:ilvl w:val="0"/>
          <w:numId w:val="1002"/>
        </w:numPr>
        <w:pStyle w:val="Compact"/>
      </w:pPr>
      <w:r>
        <w:t xml:space="preserve">Government: Public services, administrative processes, and policy dissemination.</w:t>
      </w:r>
    </w:p>
    <w:p>
      <w:pPr>
        <w:pStyle w:val="FirstParagraph"/>
      </w:pPr>
      <w:r>
        <w:t xml:space="preserve">The study will involve both human Translator Interpreter professionals and machine-assisted translation tools to compare their effectiveness in various scenarios.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include:</w:t>
      </w:r>
    </w:p>
    <w:p>
      <w:pPr>
        <w:numPr>
          <w:ilvl w:val="0"/>
          <w:numId w:val="1003"/>
        </w:numPr>
        <w:pStyle w:val="Compact"/>
      </w:pPr>
      <w:r>
        <w:t xml:space="preserve">Certified Translator Interpreter professionals with experience in United Arab Emirates Abu Dhabi.</w:t>
      </w:r>
    </w:p>
    <w:p>
      <w:pPr>
        <w:numPr>
          <w:ilvl w:val="0"/>
          <w:numId w:val="1003"/>
        </w:numPr>
        <w:pStyle w:val="Compact"/>
      </w:pPr>
      <w:r>
        <w:t xml:space="preserve">Native speakers of Arabic, English, Hindi, Urdu, and other relevant languages.</w:t>
      </w:r>
    </w:p>
    <w:p>
      <w:pPr>
        <w:numPr>
          <w:ilvl w:val="0"/>
          <w:numId w:val="1003"/>
        </w:numPr>
        <w:pStyle w:val="Compact"/>
      </w:pPr>
      <w:r>
        <w:t xml:space="preserve">Stakeholders from healthcare, legal, business, and government sectors.</w:t>
      </w:r>
    </w:p>
    <w:bookmarkEnd w:id="24"/>
    <w:bookmarkStart w:id="25"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t xml:space="preserve">Controlled simulations of real-world scenarios requiring translation and interpretation.</w:t>
      </w:r>
    </w:p>
    <w:p>
      <w:pPr>
        <w:numPr>
          <w:ilvl w:val="0"/>
          <w:numId w:val="1004"/>
        </w:numPr>
        <w:pStyle w:val="Compact"/>
      </w:pPr>
      <w:r>
        <w:t xml:space="preserve">Surveys and interviews with stakeholders to gather feedback on Translator Interpreter performance.</w:t>
      </w:r>
    </w:p>
    <w:p>
      <w:pPr>
        <w:numPr>
          <w:ilvl w:val="0"/>
          <w:numId w:val="1004"/>
        </w:numPr>
        <w:pStyle w:val="Compact"/>
      </w:pPr>
      <w:r>
        <w:t xml:space="preserve">Analysis of translated documents and recorded interpretations for accuracy and fluency.</w:t>
      </w:r>
    </w:p>
    <w:bookmarkEnd w:id="25"/>
    <w:bookmarkStart w:id="26" w:name="evaluation-criteria"/>
    <w:p>
      <w:pPr>
        <w:pStyle w:val="Heading3"/>
      </w:pPr>
      <w:r>
        <w:t xml:space="preserve">4.3 Evaluation Criteria</w:t>
      </w:r>
    </w:p>
    <w:p>
      <w:pPr>
        <w:pStyle w:val="FirstParagraph"/>
      </w:pPr>
      <w:r>
        <w:t xml:space="preserve">Translator Interpreter performance will be evaluated based on the following criteria:</w:t>
      </w:r>
    </w:p>
    <w:p>
      <w:pPr>
        <w:numPr>
          <w:ilvl w:val="0"/>
          <w:numId w:val="1005"/>
        </w:numPr>
        <w:pStyle w:val="Compact"/>
      </w:pPr>
      <w:r>
        <w:rPr>
          <w:bCs/>
          <w:b/>
        </w:rPr>
        <w:t xml:space="preserve">Linguistic Accuracy:</w:t>
      </w:r>
      <w:r>
        <w:t xml:space="preserve"> </w:t>
      </w:r>
      <w:r>
        <w:t xml:space="preserve">Correctness of terminology, grammar, and syntax.</w:t>
      </w:r>
    </w:p>
    <w:p>
      <w:pPr>
        <w:numPr>
          <w:ilvl w:val="0"/>
          <w:numId w:val="1005"/>
        </w:numPr>
        <w:pStyle w:val="Compact"/>
      </w:pPr>
      <w:r>
        <w:rPr>
          <w:bCs/>
          <w:b/>
        </w:rPr>
        <w:t xml:space="preserve">Cultural Sensitivity:</w:t>
      </w:r>
      <w:r>
        <w:t xml:space="preserve"> </w:t>
      </w:r>
      <w:r>
        <w:t xml:space="preserve">Appropriateness of language and behavior in line with local customs.</w:t>
      </w:r>
    </w:p>
    <w:p>
      <w:pPr>
        <w:numPr>
          <w:ilvl w:val="0"/>
          <w:numId w:val="1005"/>
        </w:numPr>
        <w:pStyle w:val="Compact"/>
      </w:pPr>
      <w:r>
        <w:rPr>
          <w:bCs/>
          <w:b/>
        </w:rPr>
        <w:t xml:space="preserve">Efficiency:</w:t>
      </w:r>
      <w:r>
        <w:t xml:space="preserve"> </w:t>
      </w:r>
      <w:r>
        <w:t xml:space="preserve">Speed and clarity of communication in time-sensitive situations.</w:t>
      </w:r>
    </w:p>
    <w:p>
      <w:pPr>
        <w:numPr>
          <w:ilvl w:val="0"/>
          <w:numId w:val="1005"/>
        </w:numPr>
        <w:pStyle w:val="Compact"/>
      </w:pPr>
      <w:r>
        <w:rPr>
          <w:bCs/>
          <w:b/>
        </w:rPr>
        <w:t xml:space="preserve">Adaptability:</w:t>
      </w:r>
      <w:r>
        <w:t xml:space="preserve"> </w:t>
      </w:r>
      <w:r>
        <w:t xml:space="preserve">Ability to handle unexpected challenges or complex topics.</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guidelines to ensure the confidentiality and well-being of all participants. Key considerations include:</w:t>
      </w:r>
    </w:p>
    <w:p>
      <w:pPr>
        <w:numPr>
          <w:ilvl w:val="0"/>
          <w:numId w:val="1006"/>
        </w:numPr>
        <w:pStyle w:val="Compact"/>
      </w:pPr>
      <w:r>
        <w:t xml:space="preserve">Informed consent will be obtained from all participants prior to their involvement.</w:t>
      </w:r>
    </w:p>
    <w:p>
      <w:pPr>
        <w:numPr>
          <w:ilvl w:val="0"/>
          <w:numId w:val="1006"/>
        </w:numPr>
        <w:pStyle w:val="Compact"/>
      </w:pPr>
      <w:r>
        <w:t xml:space="preserve">Personal data will be anonymized and stored securely in compliance with United Arab Emirates data protection laws.</w:t>
      </w:r>
    </w:p>
    <w:p>
      <w:pPr>
        <w:numPr>
          <w:ilvl w:val="0"/>
          <w:numId w:val="1006"/>
        </w:numPr>
        <w:pStyle w:val="Compact"/>
      </w:pPr>
      <w:r>
        <w:t xml:space="preserve">Participants will have the right to withdraw from the study at any time without penalty.</w:t>
      </w:r>
    </w:p>
    <w:bookmarkEnd w:id="28"/>
    <w:bookmarkStart w:id="29"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7"/>
        </w:numPr>
        <w:pStyle w:val="Compact"/>
      </w:pPr>
      <w:r>
        <w:rPr>
          <w:bCs/>
          <w:b/>
        </w:rPr>
        <w:t xml:space="preserve">Month 1:</w:t>
      </w:r>
      <w:r>
        <w:t xml:space="preserve"> </w:t>
      </w:r>
      <w:r>
        <w:t xml:space="preserve">Preparation and participant recruitment.</w:t>
      </w:r>
    </w:p>
    <w:p>
      <w:pPr>
        <w:numPr>
          <w:ilvl w:val="0"/>
          <w:numId w:val="1007"/>
        </w:numPr>
        <w:pStyle w:val="Compact"/>
      </w:pPr>
      <w:r>
        <w:rPr>
          <w:bCs/>
          <w:b/>
        </w:rPr>
        <w:t xml:space="preserve">Months 2-3:</w:t>
      </w:r>
      <w:r>
        <w:t xml:space="preserve"> </w:t>
      </w:r>
      <w:r>
        <w:t xml:space="preserve">Data collection through simulations and surveys.</w:t>
      </w:r>
    </w:p>
    <w:p>
      <w:pPr>
        <w:numPr>
          <w:ilvl w:val="0"/>
          <w:numId w:val="1007"/>
        </w:numPr>
        <w:pStyle w:val="Compact"/>
      </w:pPr>
      <w:r>
        <w:rPr>
          <w:bCs/>
          <w:b/>
        </w:rPr>
        <w:t xml:space="preserve">Months 4-5:</w:t>
      </w:r>
      <w:r>
        <w:t xml:space="preserve"> </w:t>
      </w:r>
      <w:r>
        <w:t xml:space="preserve">Data analysis and evaluation.</w:t>
      </w:r>
    </w:p>
    <w:p>
      <w:pPr>
        <w:numPr>
          <w:ilvl w:val="0"/>
          <w:numId w:val="1007"/>
        </w:numPr>
        <w:pStyle w:val="Compact"/>
      </w:pPr>
      <w:r>
        <w:rPr>
          <w:bCs/>
          <w:b/>
        </w:rPr>
        <w:t xml:space="preserve">Month 6:</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The anticipated outcomes of this experiment include:</w:t>
      </w:r>
    </w:p>
    <w:p>
      <w:pPr>
        <w:numPr>
          <w:ilvl w:val="0"/>
          <w:numId w:val="1008"/>
        </w:numPr>
        <w:pStyle w:val="Compact"/>
      </w:pPr>
      <w:r>
        <w:t xml:space="preserve">A comprehensive understanding of the strengths and weaknesses of current Translator Interpreter services in United Arab Emirates Abu Dhabi.</w:t>
      </w:r>
    </w:p>
    <w:p>
      <w:pPr>
        <w:numPr>
          <w:ilvl w:val="0"/>
          <w:numId w:val="1008"/>
        </w:numPr>
        <w:pStyle w:val="Compact"/>
      </w:pPr>
      <w:r>
        <w:t xml:space="preserve">Recommendations for improving training programs and certification standards for Translator Interpreter professionals.</w:t>
      </w:r>
    </w:p>
    <w:p>
      <w:pPr>
        <w:numPr>
          <w:ilvl w:val="0"/>
          <w:numId w:val="1008"/>
        </w:numPr>
        <w:pStyle w:val="Compact"/>
      </w:pPr>
      <w:r>
        <w:t xml:space="preserve">Insights into the role of technology in enhancing translation and interpretation services.</w:t>
      </w:r>
    </w:p>
    <w:p>
      <w:pPr>
        <w:numPr>
          <w:ilvl w:val="0"/>
          <w:numId w:val="1008"/>
        </w:numPr>
        <w:pStyle w:val="Compact"/>
      </w:pPr>
      <w:r>
        <w:t xml:space="preserve">Guidelines for organizations to select and utilize Translator Interpreter services effectively.</w:t>
      </w:r>
    </w:p>
    <w:bookmarkEnd w:id="30"/>
    <w:bookmarkStart w:id="31" w:name="conclusion"/>
    <w:p>
      <w:pPr>
        <w:pStyle w:val="Heading2"/>
      </w:pPr>
      <w:r>
        <w:t xml:space="preserve">8. Conclusion</w:t>
      </w:r>
    </w:p>
    <w:p>
      <w:pPr>
        <w:pStyle w:val="FirstParagraph"/>
      </w:pPr>
      <w:r>
        <w:t xml:space="preserve">This Experiment Protocol provides a structured approach to evaluating Translator Interpreter services in the unique context of United Arab Emirates Abu Dhabi. By focusing on linguistic accuracy, cultural competence, and operational efficiency, the study aims to contribute to the development of high-quality translation and interpretation practices that meet the needs of the region's diverse population. The findings will serve as a valuable resource for policymakers, educators, and industry stakeholders committed to fostering effective cross-cultural communication.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United Arab Emirates Abu Dhabi</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