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fa85a2aea581afdb1932e32efae55a17b7194ae"/>
    <w:p>
      <w:pPr>
        <w:pStyle w:val="Heading1"/>
      </w:pPr>
      <w:r>
        <w:t xml:space="preserve">Experiment Protocol: Evaluation of Translator Interpreter Services in United Kingdom Birmingham</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accuracy, and cultural appropriateness of Translator Interpreter services within the diverse linguistic landscape of United Kingdom Birmingham. Birmingham is one of the most multicultural cities in the United Kingdom, hosting significant populations speaking languages such as Punjabi, Urdu, Gujarati, Arabic, Polish, and Somali, among others. The demand for professional Translator Interpreter services in healthcare, legal, and social care sectors is high. This experiment aims to evaluate how well current Translator Interpreter solutions—both human and technology-assisted—meet the needs of Birmingham’s residents.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accuracy of Translator Interpreter services in high-stakes environments in United Kingdom Birmingham.</w:t>
      </w:r>
    </w:p>
    <w:p>
      <w:pPr>
        <w:numPr>
          <w:ilvl w:val="0"/>
          <w:numId w:val="1001"/>
        </w:numPr>
        <w:pStyle w:val="Compact"/>
      </w:pPr>
      <w:r>
        <w:t xml:space="preserve">To evaluate the cultural sensitivity and contextual understanding of Translator Interpreter providers.</w:t>
      </w:r>
    </w:p>
    <w:p>
      <w:pPr>
        <w:numPr>
          <w:ilvl w:val="0"/>
          <w:numId w:val="1001"/>
        </w:numPr>
        <w:pStyle w:val="Compact"/>
      </w:pPr>
      <w:r>
        <w:t xml:space="preserve">To compare human Translator Interpreter performance with AI-driven translation tools in real-world Birmingham scenarios.</w:t>
      </w:r>
    </w:p>
    <w:p>
      <w:pPr>
        <w:numPr>
          <w:ilvl w:val="0"/>
          <w:numId w:val="1001"/>
        </w:numPr>
        <w:pStyle w:val="Compact"/>
      </w:pPr>
      <w:r>
        <w:t xml:space="preserve">To identify gaps in service delivery and propose improvements tailored to Birmingham’s linguistic diversity.</w:t>
      </w:r>
    </w:p>
    <w:bookmarkEnd w:id="21"/>
    <w:bookmarkStart w:id="22" w:name="scope-and-setting"/>
    <w:p>
      <w:pPr>
        <w:pStyle w:val="Heading2"/>
      </w:pPr>
      <w:r>
        <w:t xml:space="preserve">3. Scope and Setting</w:t>
      </w:r>
    </w:p>
    <w:p>
      <w:pPr>
        <w:pStyle w:val="FirstParagraph"/>
      </w:pPr>
      <w:r>
        <w:t xml:space="preserve">The experiment will be conducted across multiple sites in United Kingdom Birmingham, including:</w:t>
      </w:r>
    </w:p>
    <w:p>
      <w:pPr>
        <w:numPr>
          <w:ilvl w:val="0"/>
          <w:numId w:val="1002"/>
        </w:numPr>
        <w:pStyle w:val="Compact"/>
      </w:pPr>
      <w:r>
        <w:t xml:space="preserve">Primary Care Trusts and NHS hospitals</w:t>
      </w:r>
    </w:p>
    <w:p>
      <w:pPr>
        <w:numPr>
          <w:ilvl w:val="0"/>
          <w:numId w:val="1002"/>
        </w:numPr>
        <w:pStyle w:val="Compact"/>
      </w:pPr>
      <w:r>
        <w:t xml:space="preserve">Local council offices</w:t>
      </w:r>
    </w:p>
    <w:p>
      <w:pPr>
        <w:numPr>
          <w:ilvl w:val="0"/>
          <w:numId w:val="1002"/>
        </w:numPr>
        <w:pStyle w:val="Compact"/>
      </w:pPr>
      <w:r>
        <w:t xml:space="preserve">Community legal centres</w:t>
      </w:r>
    </w:p>
    <w:p>
      <w:pPr>
        <w:numPr>
          <w:ilvl w:val="0"/>
          <w:numId w:val="1002"/>
        </w:numPr>
        <w:pStyle w:val="Compact"/>
      </w:pPr>
      <w:r>
        <w:t xml:space="preserve">Voluntary sector organisations</w:t>
      </w:r>
    </w:p>
    <w:p>
      <w:pPr>
        <w:pStyle w:val="FirstParagraph"/>
      </w:pPr>
      <w:r>
        <w:t xml:space="preserve">The focus will be on Translator Interpreter services used in face-to-face, telephone, and video remote interpreting contexts.</w:t>
      </w:r>
    </w:p>
    <w:bookmarkEnd w:id="22"/>
    <w:bookmarkStart w:id="23" w:name="participants"/>
    <w:p>
      <w:pPr>
        <w:pStyle w:val="Heading2"/>
      </w:pPr>
      <w:r>
        <w:t xml:space="preserve">4. Participants</w:t>
      </w:r>
    </w:p>
    <w:p>
      <w:pPr>
        <w:pStyle w:val="FirstParagraph"/>
      </w:pPr>
      <w:r>
        <w:t xml:space="preserve">Participants will include:</w:t>
      </w:r>
    </w:p>
    <w:p>
      <w:pPr>
        <w:numPr>
          <w:ilvl w:val="0"/>
          <w:numId w:val="1003"/>
        </w:numPr>
        <w:pStyle w:val="Compact"/>
      </w:pPr>
      <w:r>
        <w:t xml:space="preserve">Service users from linguistically diverse backgrounds in United Kingdom Birmingham.</w:t>
      </w:r>
    </w:p>
    <w:p>
      <w:pPr>
        <w:numPr>
          <w:ilvl w:val="0"/>
          <w:numId w:val="1003"/>
        </w:numPr>
        <w:pStyle w:val="Compact"/>
      </w:pPr>
      <w:r>
        <w:t xml:space="preserve">Professional Translator Interpreter practitioners registered with UK bodies (e.g., CIOL, NAATI).</w:t>
      </w:r>
    </w:p>
    <w:p>
      <w:pPr>
        <w:numPr>
          <w:ilvl w:val="0"/>
          <w:numId w:val="1003"/>
        </w:numPr>
        <w:pStyle w:val="Compact"/>
      </w:pPr>
      <w:r>
        <w:t xml:space="preserve">Service providers (healthcare professionals, legal advisors, social workers).</w:t>
      </w:r>
    </w:p>
    <w:p>
      <w:pPr>
        <w:numPr>
          <w:ilvl w:val="0"/>
          <w:numId w:val="1003"/>
        </w:numPr>
        <w:pStyle w:val="Compact"/>
      </w:pPr>
      <w:r>
        <w:t xml:space="preserve">Technology vendors supplying AI-based Translator Interpreter tools.</w:t>
      </w:r>
    </w:p>
    <w:p>
      <w:pPr>
        <w:pStyle w:val="FirstParagraph"/>
      </w:pPr>
      <w:r>
        <w:t xml:space="preserve">Inclusion criteria: Participants must be aged 18 or over, provide informed consent, and be involved in interactions requiring Translator Interpreter support.</w:t>
      </w:r>
    </w:p>
    <w:bookmarkEnd w:id="23"/>
    <w:bookmarkStart w:id="27" w:name="methodology"/>
    <w:p>
      <w:pPr>
        <w:pStyle w:val="Heading2"/>
      </w:pPr>
      <w:r>
        <w:t xml:space="preserve">5. Methodology</w:t>
      </w:r>
    </w:p>
    <w:bookmarkStart w:id="24" w:name="study-design"/>
    <w:p>
      <w:pPr>
        <w:pStyle w:val="Heading3"/>
      </w:pPr>
      <w:r>
        <w:t xml:space="preserve">5.1 Study Design</w:t>
      </w:r>
    </w:p>
    <w:p>
      <w:pPr>
        <w:pStyle w:val="FirstParagraph"/>
      </w:pPr>
      <w:r>
        <w:t xml:space="preserve">A mixed-methods approach will be used, combining quantitative metrics (accuracy scores, response times) with qualitative feedback (user satisfaction, perceived trustworthiness).</w:t>
      </w:r>
    </w:p>
    <w:bookmarkEnd w:id="24"/>
    <w:bookmarkStart w:id="25" w:name="data-collection"/>
    <w:p>
      <w:pPr>
        <w:pStyle w:val="Heading3"/>
      </w:pPr>
      <w:r>
        <w:t xml:space="preserve">5.2 Data Collection</w:t>
      </w:r>
    </w:p>
    <w:p>
      <w:pPr>
        <w:pStyle w:val="FirstParagraph"/>
      </w:pPr>
      <w:r>
        <w:t xml:space="preserve">Data will be collected through:</w:t>
      </w:r>
    </w:p>
    <w:p>
      <w:pPr>
        <w:numPr>
          <w:ilvl w:val="0"/>
          <w:numId w:val="1004"/>
        </w:numPr>
        <w:pStyle w:val="Compact"/>
      </w:pPr>
      <w:r>
        <w:t xml:space="preserve">Recorded interpreted sessions (with consent).</w:t>
      </w:r>
    </w:p>
    <w:p>
      <w:pPr>
        <w:numPr>
          <w:ilvl w:val="0"/>
          <w:numId w:val="1004"/>
        </w:numPr>
        <w:pStyle w:val="Compact"/>
      </w:pPr>
      <w:r>
        <w:t xml:space="preserve">Post-session surveys for service users and professionals.</w:t>
      </w:r>
    </w:p>
    <w:p>
      <w:pPr>
        <w:numPr>
          <w:ilvl w:val="0"/>
          <w:numId w:val="1004"/>
        </w:numPr>
        <w:pStyle w:val="Compact"/>
      </w:pPr>
      <w:r>
        <w:t xml:space="preserve">Expert evaluation of translation accuracy by bilingual assessors.</w:t>
      </w:r>
    </w:p>
    <w:p>
      <w:pPr>
        <w:numPr>
          <w:ilvl w:val="0"/>
          <w:numId w:val="1004"/>
        </w:numPr>
        <w:pStyle w:val="Compact"/>
      </w:pPr>
      <w:r>
        <w:t xml:space="preserve">System logs from AI Translator Interpreter platforms.</w:t>
      </w:r>
    </w:p>
    <w:bookmarkEnd w:id="25"/>
    <w:bookmarkStart w:id="26" w:name="variables"/>
    <w:p>
      <w:pPr>
        <w:pStyle w:val="Heading3"/>
      </w:pPr>
      <w:r>
        <w:t xml:space="preserve">5.3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Type of Translator Interpreter service (human vs. AI), language pair, setting.</w:t>
            </w:r>
          </w:p>
        </w:tc>
      </w:tr>
      <w:tr>
        <w:tc>
          <w:tcPr/>
          <w:p>
            <w:pPr>
              <w:pStyle w:val="Compact"/>
              <w:jc w:val="left"/>
            </w:pPr>
            <w:r>
              <w:t xml:space="preserve">Dependent</w:t>
            </w:r>
          </w:p>
        </w:tc>
        <w:tc>
          <w:tcPr/>
          <w:p>
            <w:pPr>
              <w:pStyle w:val="Compact"/>
              <w:jc w:val="left"/>
            </w:pPr>
            <w:r>
              <w:t xml:space="preserve">Accuracy, completeness, cultural appropriateness, user satisfaction.</w:t>
            </w:r>
          </w:p>
        </w:tc>
      </w:tr>
      <w:tr>
        <w:tc>
          <w:tcPr/>
          <w:p>
            <w:pPr>
              <w:pStyle w:val="Compact"/>
              <w:jc w:val="left"/>
            </w:pPr>
            <w:r>
              <w:t xml:space="preserve">Control</w:t>
            </w:r>
          </w:p>
        </w:tc>
        <w:tc>
          <w:tcPr/>
          <w:p>
            <w:pPr>
              <w:pStyle w:val="Compact"/>
              <w:jc w:val="left"/>
            </w:pPr>
            <w:r>
              <w:t xml:space="preserve">Standardised scenarios, trained evaluators, consistent environment.</w:t>
            </w:r>
          </w:p>
        </w:tc>
      </w:tr>
    </w:tbl>
    <w:bookmarkEnd w:id="26"/>
    <w:bookmarkEnd w:id="27"/>
    <w:bookmarkStart w:id="28" w:name="ethical-considerations"/>
    <w:p>
      <w:pPr>
        <w:pStyle w:val="Heading2"/>
      </w:pPr>
      <w:r>
        <w:t xml:space="preserve">6. Ethical Considerations</w:t>
      </w:r>
    </w:p>
    <w:p>
      <w:pPr>
        <w:pStyle w:val="FirstParagraph"/>
      </w:pPr>
      <w:r>
        <w:t xml:space="preserve">This Experiment Protocol adheres to UK ethical standards and GDPR regulations. All participants will provide informed consent. Data will be anonymised and stored securely. Special attention will be given to vulnerable populations in United Kingdom Birmingham, ensuring that Translator Interpreter services do not compromise confidentiality or safety.</w:t>
      </w:r>
    </w:p>
    <w:bookmarkEnd w:id="28"/>
    <w:bookmarkStart w:id="29" w:name="timeline"/>
    <w:p>
      <w:pPr>
        <w:pStyle w:val="Heading2"/>
      </w:pPr>
      <w:r>
        <w:t xml:space="preserve">7. Timeline</w:t>
      </w:r>
    </w:p>
    <w:p>
      <w:pPr>
        <w:numPr>
          <w:ilvl w:val="0"/>
          <w:numId w:val="1005"/>
        </w:numPr>
        <w:pStyle w:val="Compact"/>
      </w:pPr>
      <w:r>
        <w:t xml:space="preserve">Month 1–2: Recruitment and training of evaluators.</w:t>
      </w:r>
    </w:p>
    <w:p>
      <w:pPr>
        <w:numPr>
          <w:ilvl w:val="0"/>
          <w:numId w:val="1005"/>
        </w:numPr>
        <w:pStyle w:val="Compact"/>
      </w:pPr>
      <w:r>
        <w:t xml:space="preserve">Month 3–6: Data collection across Birmingham sites.</w:t>
      </w:r>
    </w:p>
    <w:p>
      <w:pPr>
        <w:numPr>
          <w:ilvl w:val="0"/>
          <w:numId w:val="1005"/>
        </w:numPr>
        <w:pStyle w:val="Compact"/>
      </w:pPr>
      <w:r>
        <w:t xml:space="preserve">Month 7–8: Data analysis and reporting.</w:t>
      </w:r>
    </w:p>
    <w:p>
      <w:pPr>
        <w:numPr>
          <w:ilvl w:val="0"/>
          <w:numId w:val="1005"/>
        </w:numPr>
        <w:pStyle w:val="Compact"/>
      </w:pPr>
      <w:r>
        <w:t xml:space="preserve">Month 9: Dissemination of findings to stakeholders in United Kingdom Birmingham.</w:t>
      </w:r>
    </w:p>
    <w:bookmarkEnd w:id="29"/>
    <w:bookmarkStart w:id="30" w:name="expected-outcomes"/>
    <w:p>
      <w:pPr>
        <w:pStyle w:val="Heading2"/>
      </w:pPr>
      <w:r>
        <w:t xml:space="preserve">8. Expected Outcomes</w:t>
      </w:r>
    </w:p>
    <w:p>
      <w:pPr>
        <w:pStyle w:val="FirstParagraph"/>
      </w:pPr>
      <w:r>
        <w:t xml:space="preserve">This Experiment Protocol anticipates identifying best practices for Translator Interpreter deployment in United Kingdom Birmingham, highlighting areas where human expertise is irreplaceable and where AI tools can support efficiency. Recommendations will be provided to local authorities, healthcare providers, and technology developers to enhance service quality and equity.</w:t>
      </w:r>
    </w:p>
    <w:bookmarkEnd w:id="30"/>
    <w:p>
      <w:pPr>
        <w:pStyle w:val="BodyText"/>
      </w:pPr>
      <w:r>
        <w:t xml:space="preserve">Document Version: 1.0 | Prepared for: United Kingdom Birmingham Multilingual Services Initiative | Date: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United Kingdom Birmingham</dc:title>
  <dc:creator/>
  <dc:language>en</dc:language>
  <cp:keywords/>
  <dcterms:created xsi:type="dcterms:W3CDTF">2026-10-10T01:16:31Z</dcterms:created>
  <dcterms:modified xsi:type="dcterms:W3CDTF">2026-10-10T01:16:31Z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