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9326daa4c21098b39034874822199a0330d4d84"/>
    <w:p>
      <w:pPr>
        <w:pStyle w:val="Heading1"/>
      </w:pPr>
      <w:r>
        <w:t xml:space="preserve">Experiment Protocol: Evaluation of Translator Interpreter Performance in United Kingdom London</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Human and Automated Translator Interpreter Systems in Multilingual Environments within United Kingdom London.</w:t>
      </w:r>
    </w:p>
    <w:p>
      <w:pPr>
        <w:pStyle w:val="BodyText"/>
      </w:pPr>
      <w:r>
        <w:rPr>
          <w:bCs/>
          <w:b/>
        </w:rPr>
        <w:t xml:space="preserve">Protocol ID:</w:t>
      </w:r>
      <w:r>
        <w:t xml:space="preserve"> </w:t>
      </w:r>
      <w:r>
        <w:t xml:space="preserve">TI-UK-LON-2024-001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Kingdom London</w:t>
      </w:r>
    </w:p>
    <w:bookmarkEnd w:id="20"/>
    <w:bookmarkStart w:id="21" w:name="introduction-and-background"/>
    <w:p>
      <w:pPr>
        <w:pStyle w:val="Heading2"/>
      </w:pPr>
      <w:r>
        <w:t xml:space="preserve">2. Introduction and Background</w:t>
      </w:r>
    </w:p>
    <w:p>
      <w:pPr>
        <w:pStyle w:val="FirstParagraph"/>
      </w:pPr>
      <w:r>
        <w:t xml:space="preserve">United Kingdom London is one of the most linguistically diverse cities in the world, with over 300 languages spoken across its boroughs. This linguistic diversity creates a high demand for accurate and efficient communication services, particularly in healthcare, legal, and public service sectors. The role of the Translator Interpreter is critical in ensuring that non-English speakers can access essential services and that their rights are protected.</w:t>
      </w:r>
    </w:p>
    <w:p>
      <w:pPr>
        <w:pStyle w:val="BodyText"/>
      </w:pPr>
      <w:r>
        <w:t xml:space="preserve">Recent advancements in automated translation technologies have raised questions about their effectiveness compared to professional human Translator Interpreter services. This Experiment Protocol outlines a structured approach to evaluate the performance, accuracy, and user satisfaction of both human and automated Translator Interpreter systems in real-world scenarios within United Kingdom London.</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the accuracy and completeness of translations provided by human Translator Interpreter professionals versus automated systems in United Kingdom London.</w:t>
      </w:r>
    </w:p>
    <w:p>
      <w:pPr>
        <w:numPr>
          <w:ilvl w:val="0"/>
          <w:numId w:val="1001"/>
        </w:numPr>
        <w:pStyle w:val="Compact"/>
      </w:pPr>
      <w:r>
        <w:t xml:space="preserve">To evaluate user satisfaction and perceived trustworthiness of both human and automated Translator Interpreter services among diverse linguistic communities in United Kingdom London.</w:t>
      </w:r>
    </w:p>
    <w:p>
      <w:pPr>
        <w:numPr>
          <w:ilvl w:val="0"/>
          <w:numId w:val="1001"/>
        </w:numPr>
        <w:pStyle w:val="Compact"/>
      </w:pPr>
      <w:r>
        <w:t xml:space="preserve">To identify specific challenges and limitations faced by Translator Interpreter services in high-stakes environments such as healthcare and legal settings in United Kingdom London.</w:t>
      </w:r>
    </w:p>
    <w:p>
      <w:pPr>
        <w:numPr>
          <w:ilvl w:val="0"/>
          <w:numId w:val="1001"/>
        </w:numPr>
        <w:pStyle w:val="Compact"/>
      </w:pPr>
      <w:r>
        <w:t xml:space="preserve">To provide evidence-based recommendations for the integration of Translator Interpreter services in public and private sector operations in United Kingdom London.</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metrics with qualitative feedback. The study will be conducted across multiple sites in United Kingdom London, including hospitals, legal clinics, and community centers.</w:t>
      </w:r>
    </w:p>
    <w:bookmarkEnd w:id="23"/>
    <w:bookmarkStart w:id="24" w:name="participants"/>
    <w:p>
      <w:pPr>
        <w:pStyle w:val="Heading3"/>
      </w:pPr>
      <w:r>
        <w:t xml:space="preserve">4.2 Participants</w:t>
      </w:r>
    </w:p>
    <w:p>
      <w:pPr>
        <w:pStyle w:val="FirstParagraph"/>
      </w:pPr>
      <w:r>
        <w:t xml:space="preserve">The study will involve:</w:t>
      </w:r>
    </w:p>
    <w:p>
      <w:pPr>
        <w:numPr>
          <w:ilvl w:val="0"/>
          <w:numId w:val="1002"/>
        </w:numPr>
        <w:pStyle w:val="Compact"/>
      </w:pPr>
      <w:r>
        <w:t xml:space="preserve">Non-English speaking service users from various linguistic backgrounds residing in United Kingdom London.</w:t>
      </w:r>
    </w:p>
    <w:p>
      <w:pPr>
        <w:numPr>
          <w:ilvl w:val="0"/>
          <w:numId w:val="1002"/>
        </w:numPr>
        <w:pStyle w:val="Compact"/>
      </w:pPr>
      <w:r>
        <w:t xml:space="preserve">Certified human Translator Interpreter professionals registered with recognized bodies such as the Chartered Institute of Linguists (CIOL) or the Institute of Translation and Interpreting (ITI).</w:t>
      </w:r>
    </w:p>
    <w:p>
      <w:pPr>
        <w:numPr>
          <w:ilvl w:val="0"/>
          <w:numId w:val="1002"/>
        </w:numPr>
        <w:pStyle w:val="Compact"/>
      </w:pPr>
      <w:r>
        <w:t xml:space="preserve">Service providers including healthcare professionals, legal practitioners, and public service officers in United Kingdom London.</w:t>
      </w:r>
    </w:p>
    <w:bookmarkEnd w:id="24"/>
    <w:bookmarkStart w:id="25" w:name="translator-interpreter-systems"/>
    <w:p>
      <w:pPr>
        <w:pStyle w:val="Heading3"/>
      </w:pPr>
      <w:r>
        <w:t xml:space="preserve">4.3 Translator Interpreter Systems</w:t>
      </w:r>
    </w:p>
    <w:p>
      <w:pPr>
        <w:pStyle w:val="FirstParagraph"/>
      </w:pPr>
      <w:r>
        <w:t xml:space="preserve">The following Translator Interpreter systems will be evaluated:</w:t>
      </w:r>
    </w:p>
    <w:p>
      <w:pPr>
        <w:numPr>
          <w:ilvl w:val="0"/>
          <w:numId w:val="1003"/>
        </w:numPr>
        <w:pStyle w:val="Compact"/>
      </w:pPr>
      <w:r>
        <w:t xml:space="preserve">Human Translator Interpreter services provided by certified professionals.</w:t>
      </w:r>
    </w:p>
    <w:p>
      <w:pPr>
        <w:numPr>
          <w:ilvl w:val="0"/>
          <w:numId w:val="1003"/>
        </w:numPr>
        <w:pStyle w:val="Compact"/>
      </w:pPr>
      <w:r>
        <w:t xml:space="preserve">Automated Translator Interpreter systems including leading speech-to-speech and text-based translation applications.</w:t>
      </w:r>
    </w:p>
    <w:bookmarkEnd w:id="25"/>
    <w:bookmarkStart w:id="26" w:name="procedure"/>
    <w:p>
      <w:pPr>
        <w:pStyle w:val="Heading3"/>
      </w:pPr>
      <w:r>
        <w:t xml:space="preserve">4.4 Procedure</w:t>
      </w:r>
    </w:p>
    <w:p>
      <w:pPr>
        <w:pStyle w:val="FirstParagraph"/>
      </w:pPr>
      <w:r>
        <w:t xml:space="preserve">The experiment will proceed in three phases:</w:t>
      </w:r>
    </w:p>
    <w:p>
      <w:pPr>
        <w:numPr>
          <w:ilvl w:val="0"/>
          <w:numId w:val="1004"/>
        </w:numPr>
        <w:pStyle w:val="Compact"/>
      </w:pPr>
      <w:r>
        <w:rPr>
          <w:bCs/>
          <w:b/>
        </w:rPr>
        <w:t xml:space="preserve">Preparation Phase:</w:t>
      </w:r>
      <w:r>
        <w:t xml:space="preserve"> </w:t>
      </w:r>
      <w:r>
        <w:t xml:space="preserve">Selection of standardized scenarios and scripts relevant to United Kingdom London contexts (e.g., medical consultations, legal advice sessions). Training of staff and calibration of automated systems.</w:t>
      </w:r>
    </w:p>
    <w:p>
      <w:pPr>
        <w:numPr>
          <w:ilvl w:val="0"/>
          <w:numId w:val="1004"/>
        </w:numPr>
        <w:pStyle w:val="Compact"/>
      </w:pPr>
      <w:r>
        <w:rPr>
          <w:bCs/>
          <w:b/>
        </w:rPr>
        <w:t xml:space="preserve">Data Collection Phase:</w:t>
      </w:r>
      <w:r>
        <w:t xml:space="preserve"> </w:t>
      </w:r>
      <w:r>
        <w:t xml:space="preserve">Conducting simulated and real interactions using both human and automated Translator Interpreter services. Recording interactions (with consent) and collecting user feedback.</w:t>
      </w:r>
    </w:p>
    <w:p>
      <w:pPr>
        <w:numPr>
          <w:ilvl w:val="0"/>
          <w:numId w:val="1004"/>
        </w:numPr>
        <w:pStyle w:val="Compact"/>
      </w:pPr>
      <w:r>
        <w:rPr>
          <w:bCs/>
          <w:b/>
        </w:rPr>
        <w:t xml:space="preserve">Analysis Phase:</w:t>
      </w:r>
      <w:r>
        <w:t xml:space="preserve"> </w:t>
      </w:r>
      <w:r>
        <w:t xml:space="preserve">Evaluating translation accuracy, completeness, and appropriateness. Analyzing user satisfaction surveys and qualitative interviews.</w:t>
      </w:r>
    </w:p>
    <w:bookmarkEnd w:id="26"/>
    <w:bookmarkEnd w:id="27"/>
    <w:bookmarkStart w:id="28" w:name="data-collection-instruments"/>
    <w:p>
      <w:pPr>
        <w:pStyle w:val="Heading2"/>
      </w:pPr>
      <w:r>
        <w:t xml:space="preserve">5. Data Collection Instruments</w:t>
      </w:r>
    </w:p>
    <w:p>
      <w:pPr>
        <w:pStyle w:val="FirstParagraph"/>
      </w:pPr>
      <w:r>
        <w:t xml:space="preserve">The following instruments will be used to collect data:</w:t>
      </w:r>
    </w:p>
    <w:p>
      <w:pPr>
        <w:numPr>
          <w:ilvl w:val="0"/>
          <w:numId w:val="1005"/>
        </w:numPr>
        <w:pStyle w:val="Compact"/>
      </w:pPr>
      <w:r>
        <w:t xml:space="preserve">Standardized translation accuracy rubrics developed in collaboration with linguistics experts.</w:t>
      </w:r>
    </w:p>
    <w:p>
      <w:pPr>
        <w:numPr>
          <w:ilvl w:val="0"/>
          <w:numId w:val="1005"/>
        </w:numPr>
        <w:pStyle w:val="Compact"/>
      </w:pPr>
      <w:r>
        <w:t xml:space="preserve">User satisfaction questionnaires tailored to the cultural and linguistic contexts of United Kingdom London.</w:t>
      </w:r>
    </w:p>
    <w:p>
      <w:pPr>
        <w:numPr>
          <w:ilvl w:val="0"/>
          <w:numId w:val="1005"/>
        </w:numPr>
        <w:pStyle w:val="Compact"/>
      </w:pPr>
      <w:r>
        <w:t xml:space="preserve">Semi-structured interviews with service users and providers.</w:t>
      </w:r>
    </w:p>
    <w:p>
      <w:pPr>
        <w:numPr>
          <w:ilvl w:val="0"/>
          <w:numId w:val="1005"/>
        </w:numPr>
        <w:pStyle w:val="Compact"/>
      </w:pPr>
      <w:r>
        <w:t xml:space="preserve">Audio and video recordings of interactions for detailed analysis.</w:t>
      </w:r>
    </w:p>
    <w:bookmarkEnd w:id="28"/>
    <w:bookmarkStart w:id="29" w:name="ethical-considerations"/>
    <w:p>
      <w:pPr>
        <w:pStyle w:val="Heading2"/>
      </w:pPr>
      <w:r>
        <w:t xml:space="preserve">6. Ethical Considerations</w:t>
      </w:r>
    </w:p>
    <w:p>
      <w:pPr>
        <w:pStyle w:val="FirstParagraph"/>
      </w:pPr>
      <w:r>
        <w:t xml:space="preserve">This experiment will adhere to the ethical guidelines set by the United Kingdom’s Research Ethics Committees. Key considerations include:</w:t>
      </w:r>
    </w:p>
    <w:p>
      <w:pPr>
        <w:numPr>
          <w:ilvl w:val="0"/>
          <w:numId w:val="1006"/>
        </w:numPr>
        <w:pStyle w:val="Compact"/>
      </w:pPr>
      <w:r>
        <w:t xml:space="preserve">Informed consent from all participants, provided in their preferred language.</w:t>
      </w:r>
    </w:p>
    <w:p>
      <w:pPr>
        <w:numPr>
          <w:ilvl w:val="0"/>
          <w:numId w:val="1006"/>
        </w:numPr>
        <w:pStyle w:val="Compact"/>
      </w:pPr>
      <w:r>
        <w:t xml:space="preserve">Confidentiality and data protection in accordance with the UK General Data Protection Regulation (UK GDPR).</w:t>
      </w:r>
    </w:p>
    <w:p>
      <w:pPr>
        <w:numPr>
          <w:ilvl w:val="0"/>
          <w:numId w:val="1006"/>
        </w:numPr>
        <w:pStyle w:val="Compact"/>
      </w:pPr>
      <w:r>
        <w:t xml:space="preserve">Ensuring that participants’ access to essential services is not compromised by their involvement in the study.</w:t>
      </w:r>
    </w:p>
    <w:p>
      <w:pPr>
        <w:numPr>
          <w:ilvl w:val="0"/>
          <w:numId w:val="1006"/>
        </w:numPr>
        <w:pStyle w:val="Compact"/>
      </w:pPr>
      <w:r>
        <w:t xml:space="preserve">Respect for cultural and linguistic diversity within United Kingdom London communities.</w:t>
      </w:r>
    </w:p>
    <w:bookmarkEnd w:id="29"/>
    <w:bookmarkStart w:id="30" w:name="expected-outcomes"/>
    <w:p>
      <w:pPr>
        <w:pStyle w:val="Heading2"/>
      </w:pPr>
      <w:r>
        <w:t xml:space="preserve">7. Expected Outcomes</w:t>
      </w:r>
    </w:p>
    <w:p>
      <w:pPr>
        <w:pStyle w:val="FirstParagraph"/>
      </w:pPr>
      <w:r>
        <w:t xml:space="preserve">The experiment aims to produce:</w:t>
      </w:r>
    </w:p>
    <w:p>
      <w:pPr>
        <w:numPr>
          <w:ilvl w:val="0"/>
          <w:numId w:val="1007"/>
        </w:numPr>
        <w:pStyle w:val="Compact"/>
      </w:pPr>
      <w:r>
        <w:t xml:space="preserve">A comprehensive report on the comparative performance of human and automated Translator Interpreter services in United Kingdom London.</w:t>
      </w:r>
    </w:p>
    <w:p>
      <w:pPr>
        <w:numPr>
          <w:ilvl w:val="0"/>
          <w:numId w:val="1007"/>
        </w:numPr>
        <w:pStyle w:val="Compact"/>
      </w:pPr>
      <w:r>
        <w:t xml:space="preserve">Guidelines for best practices in the deployment of Translator Interpreter services in multilingual environments.</w:t>
      </w:r>
    </w:p>
    <w:p>
      <w:pPr>
        <w:numPr>
          <w:ilvl w:val="0"/>
          <w:numId w:val="1007"/>
        </w:numPr>
        <w:pStyle w:val="Compact"/>
      </w:pPr>
      <w:r>
        <w:t xml:space="preserve">Recommendations for policy makers, service providers, and technology developers to improve communication equity in United Kingdom London.</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Protocol finalization, participant recruitment, system calibration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Conducting interactions, collecting feedback</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analysis, report writing</w:t>
            </w:r>
          </w:p>
        </w:tc>
      </w:tr>
      <w:tr>
        <w:tc>
          <w:tcPr/>
          <w:p>
            <w:pPr>
              <w:pStyle w:val="Compact"/>
              <w:jc w:val="left"/>
            </w:pPr>
            <w:r>
              <w:t xml:space="preserve">Dissemination</w:t>
            </w:r>
          </w:p>
        </w:tc>
        <w:tc>
          <w:tcPr/>
          <w:p>
            <w:pPr>
              <w:pStyle w:val="Compact"/>
              <w:jc w:val="left"/>
            </w:pPr>
            <w:r>
              <w:t xml:space="preserve">1 month</w:t>
            </w:r>
          </w:p>
        </w:tc>
        <w:tc>
          <w:tcPr/>
          <w:p>
            <w:pPr>
              <w:pStyle w:val="Compact"/>
              <w:jc w:val="left"/>
            </w:pPr>
            <w:r>
              <w:t xml:space="preserve">Publication of findings, stakeholder presentations</w:t>
            </w:r>
          </w:p>
        </w:tc>
      </w:tr>
    </w:tbl>
    <w:bookmarkEnd w:id="31"/>
    <w:bookmarkStart w:id="32" w:name="conclusion"/>
    <w:p>
      <w:pPr>
        <w:pStyle w:val="Heading2"/>
      </w:pPr>
      <w:r>
        <w:t xml:space="preserve">9. Conclusion</w:t>
      </w:r>
    </w:p>
    <w:p>
      <w:pPr>
        <w:pStyle w:val="FirstParagraph"/>
      </w:pPr>
      <w:r>
        <w:t xml:space="preserve">This Experiment Protocol provides a robust framework for evaluating the role and effectiveness of Translator Interpreter services in United Kingdom London. By systematically comparing human and automated systems, the study will contribute valuable insights to enhance communication practices and support the diverse linguistic needs of London’s population.</w:t>
      </w:r>
    </w:p>
    <w:bookmarkEnd w:id="32"/>
    <w:p>
      <w:pPr>
        <w:pStyle w:val="BodyText"/>
      </w:pPr>
      <w:r>
        <w:t xml:space="preserve">© 2024 Experiment Protocol: Translator Interpreter Evaluation in United Kingdom London.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United Kingdom London</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