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Translator</w:t>
      </w:r>
      <w:r>
        <w:t xml:space="preserve"> </w:t>
      </w:r>
      <w:r>
        <w:t xml:space="preserve">Interpreter</w:t>
      </w:r>
      <w:r>
        <w:t xml:space="preserve"> </w:t>
      </w:r>
      <w:r>
        <w:t xml:space="preserve">Evaluation</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0" w:name="Xd05578d86e4ec9d4a856acc776f94612654df38"/>
    <w:p>
      <w:pPr>
        <w:pStyle w:val="Heading1"/>
      </w:pPr>
      <w:r>
        <w:t xml:space="preserve">Experiment Protocol: Evaluation of Translator Interpreter Systems</w:t>
      </w:r>
    </w:p>
    <w:p>
      <w:pPr>
        <w:pStyle w:val="FirstParagraph"/>
      </w:pPr>
      <w:r>
        <w:rPr>
          <w:bCs/>
          <w:b/>
        </w:rPr>
        <w:t xml:space="preserve">Project Title:</w:t>
      </w:r>
      <w:r>
        <w:t xml:space="preserve"> </w:t>
      </w:r>
      <w:r>
        <w:t xml:space="preserve">Comparative Analysis of Real-Time Translator Interpreter Efficacy in Multilingual Urban Environments</w:t>
      </w:r>
    </w:p>
    <w:p>
      <w:pPr>
        <w:pStyle w:val="BodyText"/>
      </w:pPr>
      <w:r>
        <w:rPr>
          <w:bCs/>
          <w:b/>
        </w:rPr>
        <w:t xml:space="preserve">Location:</w:t>
      </w:r>
      <w:r>
        <w:t xml:space="preserve"> </w:t>
      </w:r>
      <w:r>
        <w:t xml:space="preserve">United Kingdom Manchester (Greater Manchester Area)</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26, 2023</w:t>
      </w:r>
    </w:p>
    <w:p>
      <w:pPr>
        <w:pStyle w:val="BodyText"/>
      </w:pPr>
      <w:r>
        <w:rPr>
          <w:bCs/>
          <w:b/>
        </w:rPr>
        <w:t xml:space="preserve">Lead Investigator:</w:t>
      </w:r>
      <w:r>
        <w:t xml:space="preserve"> </w:t>
      </w:r>
      <w:r>
        <w:t xml:space="preserve">[Name Redacted]</w:t>
      </w:r>
    </w:p>
    <w:bookmarkEnd w:id="20"/>
    <w:bookmarkStart w:id="21" w:name="introduction-and-background"/>
    <w:p>
      <w:pPr>
        <w:pStyle w:val="Heading2"/>
      </w:pPr>
      <w:r>
        <w:t xml:space="preserve">1. Introduction and Background</w:t>
      </w:r>
    </w:p>
    <w:p>
      <w:pPr>
        <w:pStyle w:val="FirstParagraph"/>
      </w:pPr>
      <w:r>
        <w:t xml:space="preserve">The United Kingdom Manchester region represents a highly diverse, cosmopolitan hub with significant populations speaking languages other than English, including Urdu, Punjabi, Arabic, and Polish. As the city continues to expand its digital infrastructure and healthcare services, the demand for accurate, real-time communication tools has surged. This Experiment Protocol outlines the methodology for testing a specific Translator Interpreter application designed to facilitate communication between English speakers and non-English speakers within this specific geographic and cultural context.</w:t>
      </w:r>
    </w:p>
    <w:p>
      <w:pPr>
        <w:pStyle w:val="BodyText"/>
      </w:pPr>
      <w:r>
        <w:t xml:space="preserve">The primary objective is to determine the reliability, latency, and cultural appropriateness of the Translator Interpreter system when deployed in high-noise, high-stakes environments typical of Manchester, such as the Manchester Royal Infirmary or Manchester Piccadilly Station.</w:t>
      </w:r>
    </w:p>
    <w:bookmarkEnd w:id="21"/>
    <w:bookmarkStart w:id="22" w:name="objectives"/>
    <w:p>
      <w:pPr>
        <w:pStyle w:val="Heading2"/>
      </w:pPr>
      <w:r>
        <w:t xml:space="preserve">2. Objectives</w:t>
      </w:r>
    </w:p>
    <w:p>
      <w:pPr>
        <w:pStyle w:val="FirstParagraph"/>
      </w:pPr>
      <w:r>
        <w:t xml:space="preserve">The specific aims of this experiment are:</w:t>
      </w:r>
    </w:p>
    <w:p>
      <w:pPr>
        <w:numPr>
          <w:ilvl w:val="0"/>
          <w:numId w:val="1001"/>
        </w:numPr>
        <w:pStyle w:val="Compact"/>
      </w:pPr>
      <w:r>
        <w:t xml:space="preserve">To measure the Word Error Rate (WER) of the Translator Interpreter across five target languages prevalent in United Kingdom Manchester.</w:t>
      </w:r>
    </w:p>
    <w:p>
      <w:pPr>
        <w:numPr>
          <w:ilvl w:val="0"/>
          <w:numId w:val="1001"/>
        </w:numPr>
        <w:pStyle w:val="Compact"/>
      </w:pPr>
      <w:r>
        <w:t xml:space="preserve">To assess the system's performance under varying acoustic conditions (e.g., quiet consultation rooms vs. busy market squares).</w:t>
      </w:r>
    </w:p>
    <w:p>
      <w:pPr>
        <w:numPr>
          <w:ilvl w:val="0"/>
          <w:numId w:val="1001"/>
        </w:numPr>
        <w:pStyle w:val="Compact"/>
      </w:pPr>
      <w:r>
        <w:t xml:space="preserve">To evaluate user satisfaction among both healthcare professionals and patients regarding the usability of the Translator Interpreter.</w:t>
      </w:r>
    </w:p>
    <w:p>
      <w:pPr>
        <w:numPr>
          <w:ilvl w:val="0"/>
          <w:numId w:val="1001"/>
        </w:numPr>
        <w:pStyle w:val="Compact"/>
      </w:pPr>
      <w:r>
        <w:t xml:space="preserve">To identify specific linguistic or cultural nuances where the Translator Interpreter fails to provide accurate context.</w:t>
      </w:r>
    </w:p>
    <w:bookmarkEnd w:id="22"/>
    <w:bookmarkStart w:id="27"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 study will utilize a mixed-methods approach, combining quantitative data analysis of translation accuracy with qualitative feedback from participants. The experiment will be conducted over a period of six weeks.</w:t>
      </w:r>
    </w:p>
    <w:bookmarkEnd w:id="23"/>
    <w:bookmarkStart w:id="24" w:name="participants"/>
    <w:p>
      <w:pPr>
        <w:pStyle w:val="Heading3"/>
      </w:pPr>
      <w:r>
        <w:t xml:space="preserve">3.2 Participants</w:t>
      </w:r>
    </w:p>
    <w:p>
      <w:pPr>
        <w:pStyle w:val="FirstParagraph"/>
      </w:pPr>
      <w:r>
        <w:t xml:space="preserve">Participants will be recruited from the Greater Manchester area. The cohort will consist of:</w:t>
      </w:r>
    </w:p>
    <w:p>
      <w:pPr>
        <w:numPr>
          <w:ilvl w:val="0"/>
          <w:numId w:val="1002"/>
        </w:numPr>
        <w:pStyle w:val="Compact"/>
      </w:pPr>
      <w:r>
        <w:rPr>
          <w:bCs/>
          <w:b/>
        </w:rPr>
        <w:t xml:space="preserve">Group A:</w:t>
      </w:r>
      <w:r>
        <w:t xml:space="preserve"> </w:t>
      </w:r>
      <w:r>
        <w:t xml:space="preserve">50 Healthcare professionals fluent in English.</w:t>
      </w:r>
    </w:p>
    <w:p>
      <w:pPr>
        <w:numPr>
          <w:ilvl w:val="0"/>
          <w:numId w:val="1002"/>
        </w:numPr>
        <w:pStyle w:val="Compact"/>
      </w:pPr>
      <w:r>
        <w:rPr>
          <w:bCs/>
          <w:b/>
        </w:rPr>
        <w:t xml:space="preserve">Group B:</w:t>
      </w:r>
      <w:r>
        <w:t xml:space="preserve"> </w:t>
      </w:r>
      <w:r>
        <w:t xml:space="preserve">50 Patients or service users with limited English proficiency (LEP), representing Urdu, Punjabi, Arabic, Polish, and Spanish speakers.</w:t>
      </w:r>
    </w:p>
    <w:p>
      <w:pPr>
        <w:pStyle w:val="FirstParagraph"/>
      </w:pPr>
      <w:r>
        <w:t xml:space="preserve">All participants must provide informed consent in accordance with the UK General Data Protection Regulation (UK GDPR).</w:t>
      </w:r>
    </w:p>
    <w:bookmarkEnd w:id="24"/>
    <w:bookmarkStart w:id="25" w:name="materials"/>
    <w:p>
      <w:pPr>
        <w:pStyle w:val="Heading3"/>
      </w:pPr>
      <w:r>
        <w:t xml:space="preserve">3.3 Materials</w:t>
      </w:r>
    </w:p>
    <w:p>
      <w:pPr>
        <w:pStyle w:val="FirstParagraph"/>
      </w:pPr>
      <w:r>
        <w:t xml:space="preserve">The primary tool under investigation is the designated Translator Interpreter software installed on standardized tablet devices. Audio recording equipment will be used to capture the original speech for post-experiment analysis.</w:t>
      </w:r>
    </w:p>
    <w:bookmarkEnd w:id="25"/>
    <w:bookmarkStart w:id="26" w:name="procedure"/>
    <w:p>
      <w:pPr>
        <w:pStyle w:val="Heading3"/>
      </w:pPr>
      <w:r>
        <w:t xml:space="preserve">3.4 Procedure</w:t>
      </w:r>
    </w:p>
    <w:p>
      <w:pPr>
        <w:pStyle w:val="FirstParagraph"/>
      </w:pPr>
      <w:r>
        <w:t xml:space="preserve">The experiment will take place in three distinct locations within United Kingdom Manchester to test environmental robustness:</w:t>
      </w:r>
    </w:p>
    <w:p>
      <w:pPr>
        <w:numPr>
          <w:ilvl w:val="0"/>
          <w:numId w:val="1003"/>
        </w:numPr>
        <w:pStyle w:val="Compact"/>
      </w:pPr>
      <w:r>
        <w:rPr>
          <w:bCs/>
          <w:b/>
        </w:rPr>
        <w:t xml:space="preserve">Controlled Environment:</w:t>
      </w:r>
      <w:r>
        <w:t xml:space="preserve"> </w:t>
      </w:r>
      <w:r>
        <w:t xml:space="preserve">A quiet consultation room at a local NHS clinic.</w:t>
      </w:r>
    </w:p>
    <w:p>
      <w:pPr>
        <w:numPr>
          <w:ilvl w:val="0"/>
          <w:numId w:val="1003"/>
        </w:numPr>
        <w:pStyle w:val="Compact"/>
      </w:pPr>
      <w:r>
        <w:rPr>
          <w:bCs/>
          <w:b/>
        </w:rPr>
        <w:t xml:space="preserve">Moderate Noise:</w:t>
      </w:r>
      <w:r>
        <w:t xml:space="preserve"> </w:t>
      </w:r>
      <w:r>
        <w:t xml:space="preserve">A community centre in Salford.</w:t>
      </w:r>
    </w:p>
    <w:p>
      <w:pPr>
        <w:numPr>
          <w:ilvl w:val="0"/>
          <w:numId w:val="1003"/>
        </w:numPr>
        <w:pStyle w:val="Compact"/>
      </w:pPr>
      <w:r>
        <w:rPr>
          <w:bCs/>
          <w:b/>
        </w:rPr>
        <w:t xml:space="preserve">High Noise:</w:t>
      </w:r>
      <w:r>
        <w:t xml:space="preserve"> </w:t>
      </w:r>
      <w:r>
        <w:t xml:space="preserve">The concourse of Manchester Victoria Station.</w:t>
      </w:r>
    </w:p>
    <w:p>
      <w:pPr>
        <w:pStyle w:val="FirstParagraph"/>
      </w:pPr>
      <w:r>
        <w:t xml:space="preserve">During each session, a standardized script containing medical and logistical terminology will be spoken by Group A. Group B will listen to the output of the Translator Interpreter and respond. The interaction will be recorded. Subsequently, a professional human interpreter will translate the same script to serve as the "Gold Standard" for comparison.</w:t>
      </w:r>
    </w:p>
    <w:bookmarkEnd w:id="26"/>
    <w:bookmarkEnd w:id="27"/>
    <w:bookmarkStart w:id="30" w:name="data-collection-and-analysis"/>
    <w:p>
      <w:pPr>
        <w:pStyle w:val="Heading2"/>
      </w:pPr>
      <w:r>
        <w:t xml:space="preserve">4. Data Collection and Analysis</w:t>
      </w:r>
    </w:p>
    <w:bookmarkStart w:id="28" w:name="quantitative-metrics"/>
    <w:p>
      <w:pPr>
        <w:pStyle w:val="Heading3"/>
      </w:pPr>
      <w:r>
        <w:t xml:space="preserve">4.1 Quantitative Metrics</w:t>
      </w:r>
    </w:p>
    <w:p>
      <w:pPr>
        <w:pStyle w:val="FirstParagraph"/>
      </w:pPr>
      <w:r>
        <w:t xml:space="preserve">The accuracy of the Translator Interpreter will be calculated using the BLEU score and Word Error Rate (WER). We will specifically analyze the system's ability to handle Manchester-specific dialects and accents, as well as the target languages.</w:t>
      </w:r>
    </w:p>
    <w:bookmarkEnd w:id="28"/>
    <w:bookmarkStart w:id="29" w:name="qualitative-metrics"/>
    <w:p>
      <w:pPr>
        <w:pStyle w:val="Heading3"/>
      </w:pPr>
      <w:r>
        <w:t xml:space="preserve">4.2 Qualitative Metrics</w:t>
      </w:r>
    </w:p>
    <w:p>
      <w:pPr>
        <w:pStyle w:val="FirstParagraph"/>
      </w:pPr>
      <w:r>
        <w:t xml:space="preserve">Participants will complete a survey using a Likert scale (1-5) to rate:</w:t>
      </w:r>
    </w:p>
    <w:p>
      <w:pPr>
        <w:numPr>
          <w:ilvl w:val="0"/>
          <w:numId w:val="1004"/>
        </w:numPr>
        <w:pStyle w:val="Compact"/>
      </w:pPr>
      <w:r>
        <w:t xml:space="preserve">Clarity of the Translator Interpreter output.</w:t>
      </w:r>
    </w:p>
    <w:p>
      <w:pPr>
        <w:numPr>
          <w:ilvl w:val="0"/>
          <w:numId w:val="1004"/>
        </w:numPr>
        <w:pStyle w:val="Compact"/>
      </w:pPr>
      <w:r>
        <w:t xml:space="preserve">Perceived trust in the information provided.</w:t>
      </w:r>
    </w:p>
    <w:p>
      <w:pPr>
        <w:numPr>
          <w:ilvl w:val="0"/>
          <w:numId w:val="1004"/>
        </w:numPr>
        <w:pStyle w:val="Compact"/>
      </w:pPr>
      <w:r>
        <w:t xml:space="preserve">Ease of use of the interface.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Measurement Tool</w:t>
            </w:r>
          </w:p>
        </w:tc>
        <w:tc>
          <w:tcPr/>
          <w:p>
            <w:pPr>
              <w:pStyle w:val="Compact"/>
              <w:jc w:val="left"/>
            </w:pPr>
            <w:r>
              <w:t xml:space="preserve">Frequency</w:t>
            </w:r>
          </w:p>
        </w:tc>
      </w:tr>
      <w:tr>
        <w:tc>
          <w:tcPr/>
          <w:p>
            <w:pPr>
              <w:pStyle w:val="Compact"/>
              <w:jc w:val="left"/>
            </w:pPr>
            <w:r>
              <w:t xml:space="preserve">Translation Accuracy</w:t>
            </w:r>
          </w:p>
        </w:tc>
        <w:tc>
          <w:tcPr/>
          <w:p>
            <w:pPr>
              <w:pStyle w:val="Compact"/>
              <w:jc w:val="left"/>
            </w:pPr>
            <w:r>
              <w:t xml:space="preserve">Automated WER Calculation</w:t>
            </w:r>
          </w:p>
        </w:tc>
        <w:tc>
          <w:tcPr/>
          <w:p>
            <w:pPr>
              <w:pStyle w:val="Compact"/>
              <w:jc w:val="left"/>
            </w:pPr>
            <w:r>
              <w:t xml:space="preserve">Per Session</w:t>
            </w:r>
          </w:p>
        </w:tc>
      </w:tr>
      <w:tr>
        <w:tc>
          <w:tcPr/>
          <w:p>
            <w:pPr>
              <w:pStyle w:val="Compact"/>
              <w:jc w:val="left"/>
            </w:pPr>
            <w:r>
              <w:t xml:space="preserve">Latency</w:t>
            </w:r>
          </w:p>
        </w:tc>
        <w:tc>
          <w:tcPr/>
          <w:p>
            <w:pPr>
              <w:pStyle w:val="Compact"/>
              <w:jc w:val="left"/>
            </w:pPr>
            <w:r>
              <w:t xml:space="preserve">System Logs</w:t>
            </w:r>
          </w:p>
        </w:tc>
        <w:tc>
          <w:tcPr/>
          <w:p>
            <w:pPr>
              <w:pStyle w:val="Compact"/>
              <w:jc w:val="left"/>
            </w:pPr>
            <w:r>
              <w:t xml:space="preserve">Real-time</w:t>
            </w:r>
          </w:p>
        </w:tc>
      </w:tr>
      <w:tr>
        <w:tc>
          <w:tcPr/>
          <w:p>
            <w:pPr>
              <w:pStyle w:val="Compact"/>
              <w:jc w:val="left"/>
            </w:pPr>
            <w:r>
              <w:t xml:space="preserve">User Satisfaction</w:t>
            </w:r>
          </w:p>
        </w:tc>
        <w:tc>
          <w:tcPr/>
          <w:p>
            <w:pPr>
              <w:pStyle w:val="Compact"/>
              <w:jc w:val="left"/>
            </w:pPr>
            <w:r>
              <w:t xml:space="preserve">Post-Session Survey</w:t>
            </w:r>
          </w:p>
        </w:tc>
        <w:tc>
          <w:tcPr/>
          <w:p>
            <w:pPr>
              <w:pStyle w:val="Compact"/>
              <w:jc w:val="left"/>
            </w:pPr>
            <w:r>
              <w:t xml:space="preserve">Per Participant</w:t>
            </w:r>
          </w:p>
        </w:tc>
      </w:tr>
    </w:tbl>
    <w:bookmarkEnd w:id="29"/>
    <w:bookmarkEnd w:id="30"/>
    <w:bookmarkStart w:id="31" w:name="ethical-considerations"/>
    <w:p>
      <w:pPr>
        <w:pStyle w:val="Heading2"/>
      </w:pPr>
      <w:r>
        <w:t xml:space="preserve">5. Ethical Considerations</w:t>
      </w:r>
    </w:p>
    <w:p>
      <w:pPr>
        <w:pStyle w:val="FirstParagraph"/>
      </w:pPr>
      <w:r>
        <w:t xml:space="preserve">Given the sensitive nature of the data, particularly in a healthcare context within the United Kingdom Manchester region, strict ethical guidelines will be followed. All audio recordings will be anonymized immediately after collection. Data will be stored on secure, UK-based servers compliant with NHS data security standards. Participants will be informed that their involvement is voluntary and that they may withdraw from the experiment at any time without penalty.</w:t>
      </w:r>
    </w:p>
    <w:bookmarkEnd w:id="31"/>
    <w:bookmarkStart w:id="32" w:name="risk-management"/>
    <w:p>
      <w:pPr>
        <w:pStyle w:val="Heading2"/>
      </w:pPr>
      <w:r>
        <w:t xml:space="preserve">6. Risk Management</w:t>
      </w:r>
    </w:p>
    <w:p>
      <w:pPr>
        <w:pStyle w:val="FirstParagraph"/>
      </w:pPr>
      <w:r>
        <w:rPr>
          <w:bCs/>
          <w:b/>
        </w:rPr>
        <w:t xml:space="preserve">Risk:</w:t>
      </w:r>
      <w:r>
        <w:t xml:space="preserve"> </w:t>
      </w:r>
      <w:r>
        <w:t xml:space="preserve">Misinterpretation of critical medical information by the Translator Interpreter.</w:t>
      </w:r>
      <w:r>
        <w:br/>
      </w:r>
      <w:r>
        <w:rPr>
          <w:bCs/>
          <w:b/>
        </w:rPr>
        <w:t xml:space="preserve">Mitigation:</w:t>
      </w:r>
      <w:r>
        <w:t xml:space="preserve"> </w:t>
      </w:r>
      <w:r>
        <w:t xml:space="preserve">The experiment is observational. No actual medical decisions will be made based solely on the Translator Interpreter during the trial. A human interpreter will always be present to verify critical information.</w:t>
      </w:r>
    </w:p>
    <w:p>
      <w:pPr>
        <w:pStyle w:val="BodyText"/>
      </w:pPr>
      <w:r>
        <w:rPr>
          <w:bCs/>
          <w:b/>
        </w:rPr>
        <w:t xml:space="preserve">Risk:</w:t>
      </w:r>
      <w:r>
        <w:t xml:space="preserve"> </w:t>
      </w:r>
      <w:r>
        <w:t xml:space="preserve">Technical failure of devices.</w:t>
      </w:r>
      <w:r>
        <w:br/>
      </w:r>
      <w:r>
        <w:rPr>
          <w:bCs/>
          <w:b/>
        </w:rPr>
        <w:t xml:space="preserve">Mitigation:</w:t>
      </w:r>
      <w:r>
        <w:t xml:space="preserve"> </w:t>
      </w:r>
      <w:r>
        <w:t xml:space="preserve">Backup devices and offline language packs will be available for all sessions.</w:t>
      </w:r>
    </w:p>
    <w:bookmarkEnd w:id="32"/>
    <w:bookmarkStart w:id="33" w:name="conclusion"/>
    <w:p>
      <w:pPr>
        <w:pStyle w:val="Heading2"/>
      </w:pPr>
      <w:r>
        <w:t xml:space="preserve">7. Conclusion</w:t>
      </w:r>
    </w:p>
    <w:p>
      <w:pPr>
        <w:pStyle w:val="FirstParagraph"/>
      </w:pPr>
      <w:r>
        <w:t xml:space="preserve">This Experiment Protocol provides a rigorous framework for evaluating the Translator Interpreter system within the unique linguistic and environmental landscape of United Kingdom Manchester. By adhering to these procedures, we aim to generate actionable data that will improve communication technologies for diverse communities across the UK.</w:t>
      </w:r>
    </w:p>
    <w:bookmarkEnd w:id="33"/>
    <w:p>
      <w:pPr>
        <w:pStyle w:val="BodyText"/>
      </w:pPr>
      <w:r>
        <w:rPr>
          <w:bCs/>
          <w:b/>
        </w:rPr>
        <w:t xml:space="preserve">Disclaimer:</w:t>
      </w:r>
      <w:r>
        <w:t xml:space="preserve"> </w:t>
      </w:r>
      <w:r>
        <w:t xml:space="preserve">This document is a template for an experimental protocol. It does not constitute medical advice or a binding legal contract. All procedures must be approved by a relevant Institutional Review Board (IRB) or Ethics Committee prior to implementation.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Translator Interpreter Evaluation in United Kingdom Manchester</dc:title>
  <dc:creator/>
  <dc:language>en</dc:language>
  <cp:keywords/>
  <dcterms:created xsi:type="dcterms:W3CDTF">2026-10-10T01:55:29Z</dcterms:created>
  <dcterms:modified xsi:type="dcterms:W3CDTF">2026-10-10T01:55:29Z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