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9f30028729c0db4493a0b94983dd851e50c85b7"/>
    <w:p>
      <w:pPr>
        <w:pStyle w:val="Heading1"/>
      </w:pPr>
      <w:r>
        <w:t xml:space="preserve">Experiment Protocol: Translator Interpreter Evaluation in United States Houston</w:t>
      </w:r>
    </w:p>
    <w:p>
      <w:pPr>
        <w:pStyle w:val="FirstParagraph"/>
      </w:pPr>
      <w:r>
        <w:rPr>
          <w:bCs/>
          <w:b/>
        </w:rPr>
        <w:t xml:space="preserve">Protocol ID:</w:t>
      </w:r>
      <w:r>
        <w:t xml:space="preserve"> </w:t>
      </w:r>
      <w:r>
        <w:t xml:space="preserve">TI-HOU-2024-001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United States Houston, Texas</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The United States Houston metropolitan area represents one of the most linguistically diverse regions in the nation. With a significant population of Spanish speakers, as well as growing communities speaking Vietnamese, Arabic, and other languages, the demand for accurate communication in healthcare, legal, and emergency services is critical. This Experiment Protocol outlines the methodology for evaluating the performance of Translator Interpreter services within this specific geographic and cultural context.</w:t>
      </w:r>
    </w:p>
    <w:p>
      <w:pPr>
        <w:pStyle w:val="BodyText"/>
      </w:pPr>
      <w:r>
        <w:t xml:space="preserve">The primary objective is to assess the efficacy, accuracy, and cultural competence of both human and AI-assisted Translator Interpreter solutions when deployed in real-world scenarios across United States Houston. This study aims to identify gaps in current translation practices and propose improvements to ensure equitable access to information for non-English speaking residents.</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translation accuracy of medical terminology used in United States Houston hospitals.</w:t>
      </w:r>
    </w:p>
    <w:p>
      <w:pPr>
        <w:numPr>
          <w:ilvl w:val="0"/>
          <w:numId w:val="1001"/>
        </w:numPr>
        <w:pStyle w:val="Compact"/>
      </w:pPr>
      <w:r>
        <w:t xml:space="preserve">To evaluate the response time and latency of remote Translator Interpreter services.</w:t>
      </w:r>
    </w:p>
    <w:p>
      <w:pPr>
        <w:numPr>
          <w:ilvl w:val="0"/>
          <w:numId w:val="1001"/>
        </w:numPr>
        <w:pStyle w:val="Compact"/>
      </w:pPr>
      <w:r>
        <w:t xml:space="preserve">To assess the cultural appropriateness of translations in sensitive legal and social service contexts.</w:t>
      </w:r>
    </w:p>
    <w:p>
      <w:pPr>
        <w:numPr>
          <w:ilvl w:val="0"/>
          <w:numId w:val="1001"/>
        </w:numPr>
        <w:pStyle w:val="Compact"/>
      </w:pPr>
      <w:r>
        <w:t xml:space="preserve">To compare user satisfaction levels between human interpreters and automated translation tools.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quantitative metrics (accuracy scores, latency times) with qualitative feedback (user interviews, expert reviews). The experiment will be conducted over a period of six months in various facilities located in United States Houston.</w:t>
      </w:r>
    </w:p>
    <w:bookmarkEnd w:id="23"/>
    <w:bookmarkStart w:id="24" w:name="participants"/>
    <w:p>
      <w:pPr>
        <w:pStyle w:val="Heading3"/>
      </w:pPr>
      <w:r>
        <w:t xml:space="preserve">3.2 Participants</w:t>
      </w:r>
    </w:p>
    <w:p>
      <w:pPr>
        <w:pStyle w:val="FirstParagraph"/>
      </w:pPr>
      <w:r>
        <w:t xml:space="preserve">Participants will include:</w:t>
      </w:r>
    </w:p>
    <w:p>
      <w:pPr>
        <w:numPr>
          <w:ilvl w:val="0"/>
          <w:numId w:val="1002"/>
        </w:numPr>
        <w:pStyle w:val="Compact"/>
      </w:pPr>
      <w:r>
        <w:rPr>
          <w:bCs/>
          <w:b/>
        </w:rPr>
        <w:t xml:space="preserve">Service Providers:</w:t>
      </w:r>
      <w:r>
        <w:t xml:space="preserve"> </w:t>
      </w:r>
      <w:r>
        <w:t xml:space="preserve">Certified medical and legal interpreters operating in United States Houston.</w:t>
      </w:r>
    </w:p>
    <w:p>
      <w:pPr>
        <w:numPr>
          <w:ilvl w:val="0"/>
          <w:numId w:val="1002"/>
        </w:numPr>
        <w:pStyle w:val="Compact"/>
      </w:pPr>
      <w:r>
        <w:rPr>
          <w:bCs/>
          <w:b/>
        </w:rPr>
        <w:t xml:space="preserve">End Users:</w:t>
      </w:r>
      <w:r>
        <w:t xml:space="preserve"> </w:t>
      </w:r>
      <w:r>
        <w:t xml:space="preserve">Patients and clients requiring language assistance, primarily Spanish, Vietnamese, and Arabic speakers.</w:t>
      </w:r>
    </w:p>
    <w:p>
      <w:pPr>
        <w:numPr>
          <w:ilvl w:val="0"/>
          <w:numId w:val="1002"/>
        </w:numPr>
        <w:pStyle w:val="Compact"/>
      </w:pPr>
      <w:r>
        <w:rPr>
          <w:bCs/>
          <w:b/>
        </w:rPr>
        <w:t xml:space="preserve">Observers:</w:t>
      </w:r>
      <w:r>
        <w:t xml:space="preserve"> </w:t>
      </w:r>
      <w:r>
        <w:t xml:space="preserve">Linguists and healthcare professionals trained to evaluate translation quality.</w:t>
      </w:r>
    </w:p>
    <w:bookmarkEnd w:id="24"/>
    <w:bookmarkStart w:id="25" w:name="data-collection-procedures"/>
    <w:p>
      <w:pPr>
        <w:pStyle w:val="Heading3"/>
      </w:pPr>
      <w:r>
        <w:t xml:space="preserve">3.3 Data Collection Procedures</w:t>
      </w:r>
    </w:p>
    <w:p>
      <w:pPr>
        <w:pStyle w:val="FirstParagraph"/>
      </w:pPr>
      <w:r>
        <w:t xml:space="preserve">Data will be collected through recorded sessions (with consent), standardized test scripts, and post-interaction surveys. All sessions will take place in controlled environments within United States Houston to ensure consistency.</w:t>
      </w:r>
    </w:p>
    <w:p>
      <w:pPr>
        <w:pStyle w:val="BodyText"/>
      </w:pPr>
      <w:r>
        <w:rPr>
          <w:bCs/>
          <w:b/>
        </w:rPr>
        <w:t xml:space="preserve">Note:</w:t>
      </w:r>
      <w:r>
        <w:t xml:space="preserve"> </w:t>
      </w:r>
      <w:r>
        <w:t xml:space="preserve">All data collection must comply with HIPAA regulations and local privacy laws applicable in the state of Texas.</w:t>
      </w:r>
    </w:p>
    <w:bookmarkEnd w:id="25"/>
    <w:bookmarkEnd w:id="26"/>
    <w:bookmarkStart w:id="27" w:name="experimental-conditions"/>
    <w:p>
      <w:pPr>
        <w:pStyle w:val="Heading2"/>
      </w:pPr>
      <w:r>
        <w:t xml:space="preserve">4. Experimental Conditions</w:t>
      </w:r>
    </w:p>
    <w:p>
      <w:pPr>
        <w:pStyle w:val="FirstParagraph"/>
      </w:pPr>
      <w:r>
        <w:t xml:space="preserve">The experiment will test three distinct conditions for Translator Interpreter services: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Condition</w:t>
            </w:r>
          </w:p>
        </w:tc>
        <w:tc>
          <w:tcPr/>
          <w:p>
            <w:pPr>
              <w:pStyle w:val="Compact"/>
              <w:jc w:val="left"/>
            </w:pPr>
            <w:r>
              <w:t xml:space="preserve">Description</w:t>
            </w:r>
          </w:p>
        </w:tc>
        <w:tc>
          <w:tcPr/>
          <w:p>
            <w:pPr>
              <w:pStyle w:val="Compact"/>
              <w:jc w:val="left"/>
            </w:pPr>
            <w:r>
              <w:t xml:space="preserve">Context</w:t>
            </w:r>
          </w:p>
        </w:tc>
      </w:tr>
      <w:tr>
        <w:tc>
          <w:tcPr/>
          <w:p>
            <w:pPr>
              <w:pStyle w:val="Compact"/>
              <w:jc w:val="left"/>
            </w:pPr>
            <w:r>
              <w:t xml:space="preserve">Condition A</w:t>
            </w:r>
          </w:p>
        </w:tc>
        <w:tc>
          <w:tcPr/>
          <w:p>
            <w:pPr>
              <w:pStyle w:val="Compact"/>
              <w:jc w:val="left"/>
            </w:pPr>
            <w:r>
              <w:t xml:space="preserve">In-person Human Interpreter</w:t>
            </w:r>
          </w:p>
        </w:tc>
        <w:tc>
          <w:tcPr/>
          <w:p>
            <w:pPr>
              <w:pStyle w:val="Compact"/>
              <w:jc w:val="left"/>
            </w:pPr>
            <w:r>
              <w:t xml:space="preserve">Emergency Room Triage</w:t>
            </w:r>
          </w:p>
        </w:tc>
      </w:tr>
      <w:tr>
        <w:tc>
          <w:tcPr/>
          <w:p>
            <w:pPr>
              <w:pStyle w:val="Compact"/>
              <w:jc w:val="left"/>
            </w:pPr>
            <w:r>
              <w:t xml:space="preserve">Condition B</w:t>
            </w:r>
          </w:p>
        </w:tc>
        <w:tc>
          <w:tcPr/>
          <w:p>
            <w:pPr>
              <w:pStyle w:val="Compact"/>
              <w:jc w:val="left"/>
            </w:pPr>
            <w:r>
              <w:t xml:space="preserve">Video Remote Interpreting (VRI)</w:t>
            </w:r>
          </w:p>
        </w:tc>
        <w:tc>
          <w:tcPr/>
          <w:p>
            <w:pPr>
              <w:pStyle w:val="Compact"/>
              <w:jc w:val="left"/>
            </w:pPr>
            <w:r>
              <w:t xml:space="preserve">Outpatient Consultation</w:t>
            </w:r>
          </w:p>
        </w:tc>
      </w:tr>
      <w:tr>
        <w:tc>
          <w:tcPr/>
          <w:p>
            <w:pPr>
              <w:pStyle w:val="Compact"/>
              <w:jc w:val="left"/>
            </w:pPr>
            <w:r>
              <w:t xml:space="preserve">Condition C</w:t>
            </w:r>
          </w:p>
        </w:tc>
        <w:tc>
          <w:tcPr/>
          <w:p>
            <w:pPr>
              <w:pStyle w:val="Compact"/>
              <w:jc w:val="left"/>
            </w:pPr>
            <w:r>
              <w:t xml:space="preserve">AI-Powered Real-time Translation</w:t>
            </w:r>
          </w:p>
        </w:tc>
        <w:tc>
          <w:tcPr/>
          <w:p>
            <w:pPr>
              <w:pStyle w:val="Compact"/>
              <w:jc w:val="left"/>
            </w:pPr>
            <w:r>
              <w:t xml:space="preserve">Administrative Registration</w:t>
            </w:r>
          </w:p>
        </w:tc>
      </w:tr>
    </w:tbl>
    <w:bookmarkEnd w:id="27"/>
    <w:bookmarkStart w:id="28" w:name="evaluation-metrics"/>
    <w:p>
      <w:pPr>
        <w:pStyle w:val="Heading2"/>
      </w:pPr>
      <w:r>
        <w:t xml:space="preserve">5. Evaluation Metrics</w:t>
      </w:r>
    </w:p>
    <w:p>
      <w:pPr>
        <w:pStyle w:val="FirstParagraph"/>
      </w:pPr>
      <w:r>
        <w:t xml:space="preserve">Performance will be evaluated based on the following criteria:</w:t>
      </w:r>
    </w:p>
    <w:p>
      <w:pPr>
        <w:numPr>
          <w:ilvl w:val="0"/>
          <w:numId w:val="1003"/>
        </w:numPr>
        <w:pStyle w:val="Compact"/>
      </w:pPr>
      <w:r>
        <w:rPr>
          <w:bCs/>
          <w:b/>
        </w:rPr>
        <w:t xml:space="preserve">Accuracy:</w:t>
      </w:r>
      <w:r>
        <w:t xml:space="preserve"> </w:t>
      </w:r>
      <w:r>
        <w:t xml:space="preserve">Percentage of correctly translated terms and concepts.</w:t>
      </w:r>
    </w:p>
    <w:p>
      <w:pPr>
        <w:numPr>
          <w:ilvl w:val="0"/>
          <w:numId w:val="1003"/>
        </w:numPr>
        <w:pStyle w:val="Compact"/>
      </w:pPr>
      <w:r>
        <w:rPr>
          <w:bCs/>
          <w:b/>
        </w:rPr>
        <w:t xml:space="preserve">Completeness:</w:t>
      </w:r>
      <w:r>
        <w:t xml:space="preserve"> </w:t>
      </w:r>
      <w:r>
        <w:t xml:space="preserve">Whether all information was conveyed without omission.</w:t>
      </w:r>
    </w:p>
    <w:p>
      <w:pPr>
        <w:numPr>
          <w:ilvl w:val="0"/>
          <w:numId w:val="1003"/>
        </w:numPr>
        <w:pStyle w:val="Compact"/>
      </w:pPr>
      <w:r>
        <w:rPr>
          <w:bCs/>
          <w:b/>
        </w:rPr>
        <w:t xml:space="preserve">Fluency:</w:t>
      </w:r>
      <w:r>
        <w:t xml:space="preserve"> </w:t>
      </w:r>
      <w:r>
        <w:t xml:space="preserve">Naturalness of the translated speech.</w:t>
      </w:r>
    </w:p>
    <w:p>
      <w:pPr>
        <w:numPr>
          <w:ilvl w:val="0"/>
          <w:numId w:val="1003"/>
        </w:numPr>
        <w:pStyle w:val="Compact"/>
      </w:pPr>
      <w:r>
        <w:rPr>
          <w:bCs/>
          <w:b/>
        </w:rPr>
        <w:t xml:space="preserve">Cultural Sensitivity:</w:t>
      </w:r>
      <w:r>
        <w:t xml:space="preserve"> </w:t>
      </w:r>
      <w:r>
        <w:t xml:space="preserve">Appropriateness of tone and terminology for the United States Houston demographic.</w:t>
      </w:r>
    </w:p>
    <w:bookmarkEnd w:id="28"/>
    <w:bookmarkStart w:id="29" w:name="ethical-considerations"/>
    <w:p>
      <w:pPr>
        <w:pStyle w:val="Heading2"/>
      </w:pPr>
      <w:r>
        <w:t xml:space="preserve">6. Ethical Considerations</w:t>
      </w:r>
    </w:p>
    <w:p>
      <w:pPr>
        <w:pStyle w:val="FirstParagraph"/>
      </w:pPr>
      <w:r>
        <w:t xml:space="preserve">Given the sensitive nature of medical and legal information, strict ethical guidelines will be followed. Informed consent will be obtained from all participants in their preferred language. Confidentiality will be maintained throughout the experiment. Special attention will be paid to ensuring that vulnerable populations in United States Houston are not disadvantaged by the testing process.</w:t>
      </w:r>
    </w:p>
    <w:bookmarkEnd w:id="29"/>
    <w:bookmarkStart w:id="30" w:name="timeline"/>
    <w:p>
      <w:pPr>
        <w:pStyle w:val="Heading2"/>
      </w:pPr>
      <w:r>
        <w:t xml:space="preserve">7. Timeline</w:t>
      </w:r>
    </w:p>
    <w:p>
      <w:pPr>
        <w:numPr>
          <w:ilvl w:val="0"/>
          <w:numId w:val="1004"/>
        </w:numPr>
        <w:pStyle w:val="Compact"/>
      </w:pPr>
      <w:r>
        <w:rPr>
          <w:bCs/>
          <w:b/>
        </w:rPr>
        <w:t xml:space="preserve">Month 1:</w:t>
      </w:r>
      <w:r>
        <w:t xml:space="preserve"> </w:t>
      </w:r>
      <w:r>
        <w:t xml:space="preserve">Recruitment and training of staff.</w:t>
      </w:r>
    </w:p>
    <w:p>
      <w:pPr>
        <w:numPr>
          <w:ilvl w:val="0"/>
          <w:numId w:val="1004"/>
        </w:numPr>
        <w:pStyle w:val="Compact"/>
      </w:pPr>
      <w:r>
        <w:rPr>
          <w:bCs/>
          <w:b/>
        </w:rPr>
        <w:t xml:space="preserve">Months 2-4:</w:t>
      </w:r>
      <w:r>
        <w:t xml:space="preserve"> </w:t>
      </w:r>
      <w:r>
        <w:t xml:space="preserve">Data collection phase.</w:t>
      </w:r>
    </w:p>
    <w:p>
      <w:pPr>
        <w:numPr>
          <w:ilvl w:val="0"/>
          <w:numId w:val="1004"/>
        </w:numPr>
        <w:pStyle w:val="Compact"/>
      </w:pPr>
      <w:r>
        <w:rPr>
          <w:bCs/>
          <w:b/>
        </w:rPr>
        <w:t xml:space="preserve">Month 5:</w:t>
      </w:r>
      <w:r>
        <w:t xml:space="preserve"> </w:t>
      </w:r>
      <w:r>
        <w:t xml:space="preserve">Data analysis.</w:t>
      </w:r>
    </w:p>
    <w:p>
      <w:pPr>
        <w:numPr>
          <w:ilvl w:val="0"/>
          <w:numId w:val="1004"/>
        </w:numPr>
        <w:pStyle w:val="Compact"/>
      </w:pPr>
      <w:r>
        <w:rPr>
          <w:bCs/>
          <w:b/>
        </w:rPr>
        <w:t xml:space="preserve">Month 6:</w:t>
      </w:r>
      <w:r>
        <w:t xml:space="preserve"> </w:t>
      </w:r>
      <w:r>
        <w:t xml:space="preserve">Reporting and recommendations.</w:t>
      </w:r>
    </w:p>
    <w:bookmarkEnd w:id="30"/>
    <w:bookmarkStart w:id="31" w:name="conclusion"/>
    <w:p>
      <w:pPr>
        <w:pStyle w:val="Heading2"/>
      </w:pPr>
      <w:r>
        <w:t xml:space="preserve">8. Conclusion</w:t>
      </w:r>
    </w:p>
    <w:p>
      <w:pPr>
        <w:pStyle w:val="FirstParagraph"/>
      </w:pPr>
      <w:r>
        <w:t xml:space="preserve">This Experiment Protocol provides a structured framework for evaluating Translator Interpreter services in United States Houston. By rigorously testing different modalities, we aim to enhance communication standards and improve outcomes for diverse communities. The findings will contribute to best practices for language access in multicultural urban environments.</w:t>
      </w:r>
    </w:p>
    <w:bookmarkEnd w:id="31"/>
    <w:p>
      <w:pPr>
        <w:pStyle w:val="BodyText"/>
      </w:pPr>
      <w:r>
        <w:t xml:space="preserve">Document Version 1.0 | Prepared for Internal Review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Evaluation in United States Houston</dc:title>
  <dc:creator/>
  <dc:language>en</dc:language>
  <cp:keywords/>
  <dcterms:created xsi:type="dcterms:W3CDTF">2026-10-10T03:20:57Z</dcterms:created>
  <dcterms:modified xsi:type="dcterms:W3CDTF">2026-10-10T03:20:57Z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