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Evaluation</w:t>
      </w:r>
      <w:r>
        <w:t xml:space="preserve"> </w:t>
      </w:r>
      <w:r>
        <w:t xml:space="preserve">in</w:t>
      </w:r>
      <w:r>
        <w:t xml:space="preserve"> </w:t>
      </w:r>
      <w:r>
        <w:t xml:space="preserve">Miami</w:t>
      </w:r>
    </w:p>
    <w:bookmarkStart w:id="34" w:name="Xbad7cbb921bd4ee8525f42f4254df82a259163e"/>
    <w:p>
      <w:pPr>
        <w:pStyle w:val="Heading1"/>
      </w:pPr>
      <w:r>
        <w:t xml:space="preserve">Experiment Protocol: Evaluation of Translator Interpreter Efficacy in Multilingual Healthcare Settings</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Comparative Analysis of Human Translator Interpreter Performance vs. Automated Systems in High-Density Linguistic Environments.</w:t>
      </w:r>
    </w:p>
    <w:p>
      <w:pPr>
        <w:pStyle w:val="BodyText"/>
      </w:pPr>
      <w:r>
        <w:rPr>
          <w:bCs/>
          <w:b/>
        </w:rPr>
        <w:t xml:space="preserve">Location:</w:t>
      </w:r>
      <w:r>
        <w:t xml:space="preserve"> </w:t>
      </w:r>
      <w:r>
        <w:t xml:space="preserve">United States Miami, specifically focusing on the Miami-Dade County metropolitan area.</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2. Introduction and Background</w:t>
      </w:r>
    </w:p>
    <w:p>
      <w:pPr>
        <w:pStyle w:val="FirstParagraph"/>
      </w:pPr>
      <w:r>
        <w:t xml:space="preserve">The United States Miami region presents a unique sociolinguistic landscape, characterized by a high concentration of Spanish-speaking residents alongside significant populations speaking Haitian Creole, Portuguese, and various other languages. In this context, the role of the Translator Interpreter is critical, particularly within healthcare, legal, and emergency services sectors.</w:t>
      </w:r>
    </w:p>
    <w:p>
      <w:pPr>
        <w:pStyle w:val="BodyText"/>
      </w:pPr>
      <w:r>
        <w:t xml:space="preserve">Despite the prevalence of multilingualism, communication barriers remain a significant source of medical error and legal misunderstanding. This experiment protocol outlines a rigorous study designed to evaluate the accuracy, empathy, and cultural competence of professional Translator Interpreter services compared to emerging AI-driven translation tools within the specific cultural context of Miami.</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quantify the accuracy of medical terminology translation provided by certified Translator Interpreter professionals versus automated software in Miami-area hospitals.</w:t>
      </w:r>
    </w:p>
    <w:p>
      <w:pPr>
        <w:numPr>
          <w:ilvl w:val="0"/>
          <w:numId w:val="1001"/>
        </w:numPr>
        <w:pStyle w:val="Compact"/>
      </w:pPr>
      <w:r>
        <w:t xml:space="preserve">To assess patient satisfaction and trust levels when interacting with a human Translator Interpreter compared to machine interfaces.</w:t>
      </w:r>
    </w:p>
    <w:p>
      <w:pPr>
        <w:numPr>
          <w:ilvl w:val="0"/>
          <w:numId w:val="1001"/>
        </w:numPr>
        <w:pStyle w:val="Compact"/>
      </w:pPr>
      <w:r>
        <w:t xml:space="preserve">To identify specific cultural nuances in the United States Miami dialects (e.g., Cuban Spanish vs. Dominican Spanish) that may impact interpretation quality.</w:t>
      </w:r>
    </w:p>
    <w:p>
      <w:pPr>
        <w:numPr>
          <w:ilvl w:val="0"/>
          <w:numId w:val="1001"/>
        </w:numPr>
        <w:pStyle w:val="Compact"/>
      </w:pPr>
      <w:r>
        <w:t xml:space="preserve">To determine the impact of interpretation mode (consecutive vs. simultaneous) on the efficiency of emergency room triage.</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randomized controlled trial (RCT) design. Participants will be randomly assigned to one of two groups: Group A (Human Translator Interpreter) or Group B (Automated Translation Device). The study will be conducted over a period of six months across three major healthcare facilities in the United States Miami metropolitan area.</w:t>
      </w:r>
    </w:p>
    <w:bookmarkEnd w:id="23"/>
    <w:bookmarkStart w:id="24" w:name="participants"/>
    <w:p>
      <w:pPr>
        <w:pStyle w:val="Heading3"/>
      </w:pPr>
      <w:r>
        <w:t xml:space="preserve">4.2 Participants</w:t>
      </w:r>
    </w:p>
    <w:p>
      <w:pPr>
        <w:pStyle w:val="FirstParagraph"/>
      </w:pPr>
      <w:r>
        <w:rPr>
          <w:bCs/>
          <w:b/>
        </w:rPr>
        <w:t xml:space="preserve">Inclusion Criteria:</w:t>
      </w:r>
    </w:p>
    <w:p>
      <w:pPr>
        <w:numPr>
          <w:ilvl w:val="0"/>
          <w:numId w:val="1002"/>
        </w:numPr>
        <w:pStyle w:val="Compact"/>
      </w:pPr>
      <w:r>
        <w:t xml:space="preserve">Adult patients (18+) residing in Miami-Dade County.</w:t>
      </w:r>
    </w:p>
    <w:p>
      <w:pPr>
        <w:numPr>
          <w:ilvl w:val="0"/>
          <w:numId w:val="1002"/>
        </w:numPr>
        <w:pStyle w:val="Compact"/>
      </w:pPr>
      <w:r>
        <w:t xml:space="preserve">Primary language is Spanish, Haitian Creole, or Portuguese.</w:t>
      </w:r>
    </w:p>
    <w:p>
      <w:pPr>
        <w:numPr>
          <w:ilvl w:val="0"/>
          <w:numId w:val="1002"/>
        </w:numPr>
        <w:pStyle w:val="Compact"/>
      </w:pPr>
      <w:r>
        <w:t xml:space="preserve">Limited English proficiency (LEP) as defined by federal guidelines.</w:t>
      </w:r>
    </w:p>
    <w:p>
      <w:pPr>
        <w:pStyle w:val="FirstParagraph"/>
      </w:pPr>
      <w:r>
        <w:rPr>
          <w:bCs/>
          <w:b/>
        </w:rPr>
        <w:t xml:space="preserve">Exclusion Criteria:</w:t>
      </w:r>
    </w:p>
    <w:p>
      <w:pPr>
        <w:numPr>
          <w:ilvl w:val="0"/>
          <w:numId w:val="1003"/>
        </w:numPr>
        <w:pStyle w:val="Compact"/>
      </w:pPr>
      <w:r>
        <w:t xml:space="preserve">Patients requiring immediate life-saving intervention where protocol deviation is unsafe.</w:t>
      </w:r>
    </w:p>
    <w:p>
      <w:pPr>
        <w:numPr>
          <w:ilvl w:val="0"/>
          <w:numId w:val="1003"/>
        </w:numPr>
        <w:pStyle w:val="Compact"/>
      </w:pPr>
      <w:r>
        <w:t xml:space="preserve">Patients with cognitive impairments affecting communication ability.</w:t>
      </w:r>
    </w:p>
    <w:bookmarkEnd w:id="24"/>
    <w:bookmarkStart w:id="25" w:name="the-translator-interpreter-variable"/>
    <w:p>
      <w:pPr>
        <w:pStyle w:val="Heading3"/>
      </w:pPr>
      <w:r>
        <w:t xml:space="preserve">4.3 The Translator Interpreter Variable</w:t>
      </w:r>
    </w:p>
    <w:p>
      <w:pPr>
        <w:pStyle w:val="FirstParagraph"/>
      </w:pPr>
      <w:r>
        <w:t xml:space="preserve">For Group A, the Translator Interpreter must be certified by the National Board of Certification for Medical Interpreters (NBCMI) or equivalent. Crucially, interpreters must be vetted for familiarity with the specific regional dialects prevalent in the United States Miami area to ensure cultural relevance. For Group B, standardized FDA-cleared medical translation devices will be used.</w:t>
      </w:r>
    </w:p>
    <w:bookmarkEnd w:id="25"/>
    <w:bookmarkEnd w:id="26"/>
    <w:bookmarkStart w:id="29" w:name="procedures"/>
    <w:p>
      <w:pPr>
        <w:pStyle w:val="Heading2"/>
      </w:pPr>
      <w:r>
        <w:t xml:space="preserve">5. Procedures</w:t>
      </w:r>
    </w:p>
    <w:bookmarkStart w:id="27" w:name="data-collection"/>
    <w:p>
      <w:pPr>
        <w:pStyle w:val="Heading3"/>
      </w:pPr>
      <w:r>
        <w:t xml:space="preserve">5.1 Data Collection</w:t>
      </w:r>
    </w:p>
    <w:p>
      <w:pPr>
        <w:pStyle w:val="FirstParagraph"/>
      </w:pPr>
      <w:r>
        <w:t xml:space="preserve">Interactions will be audio-recorded with consent. A panel of linguists and medical professionals will review a random sample of 20% of these recordings. They will score the interactions based on:</w:t>
      </w:r>
    </w:p>
    <w:p>
      <w:pPr>
        <w:numPr>
          <w:ilvl w:val="0"/>
          <w:numId w:val="1004"/>
        </w:numPr>
        <w:pStyle w:val="Compact"/>
      </w:pPr>
      <w:r>
        <w:rPr>
          <w:bCs/>
          <w:b/>
        </w:rPr>
        <w:t xml:space="preserve">Fidelity:</w:t>
      </w:r>
      <w:r>
        <w:t xml:space="preserve"> </w:t>
      </w:r>
      <w:r>
        <w:t xml:space="preserve">Accuracy of the message conveyed.</w:t>
      </w:r>
    </w:p>
    <w:p>
      <w:pPr>
        <w:numPr>
          <w:ilvl w:val="0"/>
          <w:numId w:val="1004"/>
        </w:numPr>
        <w:pStyle w:val="Compact"/>
      </w:pPr>
      <w:r>
        <w:rPr>
          <w:bCs/>
          <w:b/>
        </w:rPr>
        <w:t xml:space="preserve">Completeness:</w:t>
      </w:r>
      <w:r>
        <w:t xml:space="preserve"> </w:t>
      </w:r>
      <w:r>
        <w:t xml:space="preserve">Omission or addition of information.</w:t>
      </w:r>
    </w:p>
    <w:p>
      <w:pPr>
        <w:numPr>
          <w:ilvl w:val="0"/>
          <w:numId w:val="1004"/>
        </w:numPr>
        <w:pStyle w:val="Compact"/>
      </w:pPr>
      <w:r>
        <w:rPr>
          <w:bCs/>
          <w:b/>
        </w:rPr>
        <w:t xml:space="preserve">Fluency:</w:t>
      </w:r>
      <w:r>
        <w:t xml:space="preserve"> </w:t>
      </w:r>
      <w:r>
        <w:t xml:space="preserve">Naturalness of the speech.</w:t>
      </w:r>
    </w:p>
    <w:p>
      <w:pPr>
        <w:numPr>
          <w:ilvl w:val="0"/>
          <w:numId w:val="1004"/>
        </w:numPr>
        <w:pStyle w:val="Compact"/>
      </w:pPr>
      <w:r>
        <w:rPr>
          <w:bCs/>
          <w:b/>
        </w:rPr>
        <w:t xml:space="preserve">Cultural Competence:</w:t>
      </w:r>
      <w:r>
        <w:t xml:space="preserve"> </w:t>
      </w:r>
      <w:r>
        <w:t xml:space="preserve">Appropriateness of tone and cultural references specific to the Miami demographic.</w:t>
      </w:r>
    </w:p>
    <w:bookmarkEnd w:id="27"/>
    <w:bookmarkStart w:id="28" w:name="patient-feedback"/>
    <w:p>
      <w:pPr>
        <w:pStyle w:val="Heading3"/>
      </w:pPr>
      <w:r>
        <w:t xml:space="preserve">5.2 Patient Feedback</w:t>
      </w:r>
    </w:p>
    <w:p>
      <w:pPr>
        <w:pStyle w:val="FirstParagraph"/>
      </w:pPr>
      <w:r>
        <w:t xml:space="preserve">Immediately following the consultation, patients will complete a survey in their native language. The survey will measure perceived understanding of medical instructions, comfort level, and trust in the Translator Interpreter or device.</w:t>
      </w:r>
    </w:p>
    <w:bookmarkEnd w:id="28"/>
    <w:bookmarkEnd w:id="29"/>
    <w:bookmarkStart w:id="30" w:name="ethical-considerations"/>
    <w:p>
      <w:pPr>
        <w:pStyle w:val="Heading2"/>
      </w:pPr>
      <w:r>
        <w:t xml:space="preserve">6. Ethical Considerations</w:t>
      </w:r>
    </w:p>
    <w:p>
      <w:pPr>
        <w:pStyle w:val="FirstParagraph"/>
      </w:pPr>
      <w:r>
        <w:t xml:space="preserve">This protocol adheres to the Declaration of Helsinki and has been approved by the Institutional Review Board (IRB). Informed consent will be obtained in the patient's primary language. Special attention will be paid to the privacy of sensitive health information, complying with HIPAA regulations. The experiment ensures that the use of a Translator Interpreter does not delay critical care.</w:t>
      </w:r>
    </w:p>
    <w:bookmarkEnd w:id="30"/>
    <w:bookmarkStart w:id="31" w:name="risk-management"/>
    <w:p>
      <w:pPr>
        <w:pStyle w:val="Heading2"/>
      </w:pPr>
      <w:r>
        <w:t xml:space="preserve">7. Risk Management</w:t>
      </w:r>
    </w:p>
    <w:p>
      <w:pPr>
        <w:pStyle w:val="FirstParagraph"/>
      </w:pPr>
      <w:r>
        <w:t xml:space="preserve">Potential risks include miscommunication leading to incorrect treatment. To mitigate this, a bilingual physician will review all treatment plans for participants in this study before implementation. If a Translator Interpreter is unavailable or fails, the protocol mandates immediate escalation to a backup certified professional.</w:t>
      </w:r>
    </w:p>
    <w:bookmarkEnd w:id="31"/>
    <w:bookmarkStart w:id="32" w:name="expected-outcomes-and-impact"/>
    <w:p>
      <w:pPr>
        <w:pStyle w:val="Heading2"/>
      </w:pPr>
      <w:r>
        <w:t xml:space="preserve">8. Expected Outcomes and Impact</w:t>
      </w:r>
    </w:p>
    <w:p>
      <w:pPr>
        <w:pStyle w:val="FirstParagraph"/>
      </w:pPr>
      <w:r>
        <w:t xml:space="preserve">We anticipate that while automated tools may offer speed, the human Translator Interpreter will demonstrate superior performance in handling complex medical histories and cultural nuances specific to the diverse population of the United States Miami. The results of this experiment will inform policy recommendations for healthcare providers in the region, potentially leading to better allocation of resources for professional interpretation services.</w:t>
      </w:r>
    </w:p>
    <w:bookmarkEnd w:id="32"/>
    <w:bookmarkStart w:id="33" w:name="conclusion"/>
    <w:p>
      <w:pPr>
        <w:pStyle w:val="Heading2"/>
      </w:pPr>
      <w:r>
        <w:t xml:space="preserve">9. Conclusion</w:t>
      </w:r>
    </w:p>
    <w:p>
      <w:pPr>
        <w:pStyle w:val="FirstParagraph"/>
      </w:pPr>
      <w:r>
        <w:t xml:space="preserve">This Experiment Protocol provides a structured framework for evaluating the critical role of the Translator Interpreter in a linguistically complex environment. By focusing on the unique demographics of the United States Miami, this study aims to contribute valuable data to the field of medical linguistics and improve patient outcomes through enhanced communication strategies.</w:t>
      </w:r>
    </w:p>
    <w:bookmarkEnd w:id="33"/>
    <w:p>
      <w:pPr>
        <w:pStyle w:val="BodyText"/>
      </w:pPr>
      <w:r>
        <w:rPr>
          <w:bCs/>
          <w:b/>
        </w:rPr>
        <w:t xml:space="preserve">Document Control:</w:t>
      </w:r>
      <w:r>
        <w:t xml:space="preserve"> </w:t>
      </w:r>
      <w:r>
        <w:t xml:space="preserve">This document is the property of the Research Committee. Unauthorized distribution is prohibited.</w:t>
      </w:r>
    </w:p>
    <w:p>
      <w:pPr>
        <w:pStyle w:val="BodyText"/>
      </w:pPr>
      <w:r>
        <w:rPr>
          <w:bCs/>
          <w:b/>
        </w:rPr>
        <w:t xml:space="preserve">Contact:</w:t>
      </w:r>
      <w:r>
        <w:t xml:space="preserve"> </w:t>
      </w:r>
      <w:r>
        <w:t xml:space="preserve">Research Administration Office, Miami, FL.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Evaluation in Miami</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