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Evaluation</w:t>
      </w:r>
      <w:r>
        <w:t xml:space="preserve"> </w:t>
      </w:r>
      <w:r>
        <w:t xml:space="preserve">in</w:t>
      </w:r>
      <w:r>
        <w:t xml:space="preserve"> </w:t>
      </w:r>
      <w:r>
        <w:t xml:space="preserve">San</w:t>
      </w:r>
      <w:r>
        <w:t xml:space="preserve"> </w:t>
      </w:r>
      <w:r>
        <w:t xml:space="preserve">Francisco</w:t>
      </w:r>
    </w:p>
    <w:bookmarkStart w:id="20" w:name="Xd05578d86e4ec9d4a856acc776f94612654df38"/>
    <w:p>
      <w:pPr>
        <w:pStyle w:val="Heading1"/>
      </w:pPr>
      <w:r>
        <w:t xml:space="preserve">Experiment Protocol: Evaluation of Translator Interpreter Systems</w:t>
      </w:r>
    </w:p>
    <w:p>
      <w:pPr>
        <w:pStyle w:val="FirstParagraph"/>
      </w:pPr>
      <w:r>
        <w:rPr>
          <w:bCs/>
          <w:b/>
        </w:rPr>
        <w:t xml:space="preserve">Location:</w:t>
      </w:r>
      <w:r>
        <w:t xml:space="preserve"> </w:t>
      </w:r>
      <w:r>
        <w:t xml:space="preserve">San Francisco, California, United States</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p>
      <w:pPr>
        <w:pStyle w:val="BodyText"/>
      </w:pPr>
      <w:r>
        <w:rPr>
          <w:bCs/>
          <w:b/>
        </w:rPr>
        <w:t xml:space="preserve">Principal Investigator:</w:t>
      </w:r>
      <w:r>
        <w:t xml:space="preserve"> </w:t>
      </w:r>
      <w:r>
        <w:t xml:space="preserve">[Name Redacted]</w:t>
      </w:r>
    </w:p>
    <w:bookmarkEnd w:id="20"/>
    <w:p>
      <w:pPr>
        <w:pStyle w:val="BodyText"/>
      </w:pPr>
      <w:r>
        <w:t xml:space="preserve">1. Introduction and Background</w:t>
      </w:r>
    </w:p>
    <w:p>
      <w:pPr>
        <w:pStyle w:val="BodyText"/>
      </w:pPr>
      <w:r>
        <w:t xml:space="preserve">San Francisco, located in the United States, is a highly diverse metropolitan area with a significant population of non-native English speakers. According to recent demographic data, over 35% of residents speak a language other than English at home. This linguistic diversity creates a critical need for effective communication tools in healthcare, legal, and civic services. The</w:t>
      </w:r>
      <w:r>
        <w:t xml:space="preserve"> </w:t>
      </w:r>
      <w:r>
        <w:rPr>
          <w:bCs/>
          <w:b/>
        </w:rPr>
        <w:t xml:space="preserve">Translator Interpreter</w:t>
      </w:r>
      <w:r>
        <w:t xml:space="preserve"> </w:t>
      </w:r>
      <w:r>
        <w:t xml:space="preserve">technology aims to bridge this gap by providing real-time, accurate translation services.</w:t>
      </w:r>
    </w:p>
    <w:p>
      <w:pPr>
        <w:pStyle w:val="BodyText"/>
      </w:pPr>
      <w:r>
        <w:t xml:space="preserve">This</w:t>
      </w:r>
      <w:r>
        <w:t xml:space="preserve"> </w:t>
      </w:r>
      <w:r>
        <w:rPr>
          <w:bCs/>
          <w:b/>
        </w:rPr>
        <w:t xml:space="preserve">Experiment Protocol</w:t>
      </w:r>
      <w:r>
        <w:t xml:space="preserve"> </w:t>
      </w:r>
      <w:r>
        <w:t xml:space="preserve">outlines the methodology for evaluating the performance, accuracy, and usability of a new</w:t>
      </w:r>
      <w:r>
        <w:t xml:space="preserve"> </w:t>
      </w:r>
      <w:r>
        <w:rPr>
          <w:bCs/>
          <w:b/>
        </w:rPr>
        <w:t xml:space="preserve">Translator Interpreter</w:t>
      </w:r>
      <w:r>
        <w:t xml:space="preserve"> </w:t>
      </w:r>
      <w:r>
        <w:t xml:space="preserve">system within the unique sociolinguistic context of</w:t>
      </w:r>
      <w:r>
        <w:t xml:space="preserve"> </w:t>
      </w:r>
      <w:r>
        <w:rPr>
          <w:bCs/>
          <w:b/>
        </w:rPr>
        <w:t xml:space="preserve">United States San Francisco</w:t>
      </w:r>
      <w:r>
        <w:t xml:space="preserve">. The goal is to determine if the system meets the high standards required for professional and public use in this specific geographic and cultural environment.</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assess the translation accuracy of the</w:t>
      </w:r>
      <w:r>
        <w:t xml:space="preserve"> </w:t>
      </w:r>
      <w:r>
        <w:rPr>
          <w:bCs/>
          <w:b/>
        </w:rPr>
        <w:t xml:space="preserve">Translator Interpreter</w:t>
      </w:r>
      <w:r>
        <w:t xml:space="preserve"> </w:t>
      </w:r>
      <w:r>
        <w:t xml:space="preserve">for the top five non-English languages spoken in San Francisco (Spanish, Chinese, Tagalog, Vietnamese, and Russian).</w:t>
      </w:r>
    </w:p>
    <w:p>
      <w:pPr>
        <w:numPr>
          <w:ilvl w:val="0"/>
          <w:numId w:val="1001"/>
        </w:numPr>
        <w:pStyle w:val="Compact"/>
      </w:pPr>
      <w:r>
        <w:t xml:space="preserve">To evaluate the latency and response time of the system in real-world scenarios typical of San Francisco's urban environment.</w:t>
      </w:r>
    </w:p>
    <w:p>
      <w:pPr>
        <w:numPr>
          <w:ilvl w:val="0"/>
          <w:numId w:val="1001"/>
        </w:numPr>
        <w:pStyle w:val="Compact"/>
      </w:pPr>
      <w:r>
        <w:t xml:space="preserve">To measure user satisfaction and trust among diverse demographic groups in the United States.</w:t>
      </w:r>
    </w:p>
    <w:p>
      <w:pPr>
        <w:numPr>
          <w:ilvl w:val="0"/>
          <w:numId w:val="1001"/>
        </w:numPr>
        <w:pStyle w:val="Compact"/>
      </w:pPr>
      <w:r>
        <w:t xml:space="preserve">To identify specific linguistic or cultural nuances where the</w:t>
      </w:r>
      <w:r>
        <w:t xml:space="preserve"> </w:t>
      </w:r>
      <w:r>
        <w:rPr>
          <w:bCs/>
          <w:b/>
        </w:rPr>
        <w:t xml:space="preserve">Translator Interpreter</w:t>
      </w:r>
      <w:r>
        <w:t xml:space="preserve"> </w:t>
      </w:r>
      <w:r>
        <w:t xml:space="preserve">may fail or require improvement.</w:t>
      </w:r>
    </w:p>
    <w:p>
      <w:pPr>
        <w:pStyle w:val="FirstParagraph"/>
      </w:pPr>
      <w:r>
        <w:t xml:space="preserve">3. Methodology</w:t>
      </w:r>
    </w:p>
    <w:bookmarkStart w:id="21" w:name="study-design"/>
    <w:p>
      <w:pPr>
        <w:pStyle w:val="Heading3"/>
      </w:pPr>
      <w:r>
        <w:t xml:space="preserve">3.1 Study Design</w:t>
      </w:r>
    </w:p>
    <w:p>
      <w:pPr>
        <w:pStyle w:val="FirstParagraph"/>
      </w:pPr>
      <w:r>
        <w:t xml:space="preserve">This study will employ a mixed-methods approach, combining quantitative metrics (accuracy scores, latency) with qualitative feedback (user interviews, surveys). The experiment will be conducted over a period of six weeks in various locations across San Francisco, including community centers, clinics, and public transit hubs.</w:t>
      </w:r>
    </w:p>
    <w:bookmarkEnd w:id="21"/>
    <w:bookmarkStart w:id="22" w:name="participants"/>
    <w:p>
      <w:pPr>
        <w:pStyle w:val="Heading3"/>
      </w:pPr>
      <w:r>
        <w:t xml:space="preserve">3.2 Participants</w:t>
      </w:r>
    </w:p>
    <w:p>
      <w:pPr>
        <w:pStyle w:val="FirstParagraph"/>
      </w:pPr>
      <w:r>
        <w:t xml:space="preserve">Participants will be recruited from the general public in San Francisco. Inclusion criteria require participants to be fluent in English and at least one of the target languages. A total of 200 participants will be enrolled, stratified by language group and age to ensure representation of the city's diversity.</w:t>
      </w:r>
    </w:p>
    <w:bookmarkEnd w:id="22"/>
    <w:bookmarkStart w:id="23" w:name="procedures"/>
    <w:p>
      <w:pPr>
        <w:pStyle w:val="Heading3"/>
      </w:pPr>
      <w:r>
        <w:t xml:space="preserve">3.3 Procedures</w:t>
      </w:r>
    </w:p>
    <w:p>
      <w:pPr>
        <w:pStyle w:val="FirstParagraph"/>
      </w:pPr>
      <w:r>
        <w:t xml:space="preserve">Each participant will engage in a series of simulated conversations using the</w:t>
      </w:r>
      <w:r>
        <w:t xml:space="preserve"> </w:t>
      </w:r>
      <w:r>
        <w:rPr>
          <w:bCs/>
          <w:b/>
        </w:rPr>
        <w:t xml:space="preserve">Translator Interpreter</w:t>
      </w:r>
      <w:r>
        <w:t xml:space="preserve"> </w:t>
      </w:r>
      <w:r>
        <w:t xml:space="preserve">device. Scenarios will include medical consultations, legal advice, and everyday interactions. The conversations will be recorded (with consent) for later analysis by human linguists.</w:t>
      </w:r>
    </w:p>
    <w:p>
      <w:pPr>
        <w:numPr>
          <w:ilvl w:val="0"/>
          <w:numId w:val="1002"/>
        </w:numPr>
        <w:pStyle w:val="Compact"/>
      </w:pPr>
      <w:r>
        <w:rPr>
          <w:bCs/>
          <w:b/>
        </w:rPr>
        <w:t xml:space="preserve">Phase 1:</w:t>
      </w:r>
      <w:r>
        <w:t xml:space="preserve"> </w:t>
      </w:r>
      <w:r>
        <w:t xml:space="preserve">Calibration and training on the device.</w:t>
      </w:r>
    </w:p>
    <w:p>
      <w:pPr>
        <w:numPr>
          <w:ilvl w:val="0"/>
          <w:numId w:val="1002"/>
        </w:numPr>
        <w:pStyle w:val="Compact"/>
      </w:pPr>
      <w:r>
        <w:rPr>
          <w:bCs/>
          <w:b/>
        </w:rPr>
        <w:t xml:space="preserve">Phase 2:</w:t>
      </w:r>
      <w:r>
        <w:t xml:space="preserve"> </w:t>
      </w:r>
      <w:r>
        <w:t xml:space="preserve">Execution of standardized dialogue tasks.</w:t>
      </w:r>
    </w:p>
    <w:p>
      <w:pPr>
        <w:numPr>
          <w:ilvl w:val="0"/>
          <w:numId w:val="1002"/>
        </w:numPr>
        <w:pStyle w:val="Compact"/>
      </w:pPr>
      <w:r>
        <w:rPr>
          <w:bCs/>
          <w:b/>
        </w:rPr>
        <w:t xml:space="preserve">Phase 3:</w:t>
      </w:r>
      <w:r>
        <w:t xml:space="preserve"> </w:t>
      </w:r>
      <w:r>
        <w:t xml:space="preserve">Completion of a post-experiment survey regarding usability and trust.</w:t>
      </w:r>
    </w:p>
    <w:bookmarkEnd w:id="23"/>
    <w:p>
      <w:pPr>
        <w:pStyle w:val="FirstParagraph"/>
      </w:pPr>
      <w:r>
        <w:t xml:space="preserve">4. Data Collection and Analysis</w:t>
      </w:r>
    </w:p>
    <w:p>
      <w:pPr>
        <w:pStyle w:val="BodyText"/>
      </w:pPr>
      <w:r>
        <w:t xml:space="preserve">Data will be collected on three main dimensions:</w:t>
      </w:r>
    </w:p>
    <w:p>
      <w:pPr>
        <w:numPr>
          <w:ilvl w:val="0"/>
          <w:numId w:val="1003"/>
        </w:numPr>
        <w:pStyle w:val="Compact"/>
      </w:pPr>
      <w:r>
        <w:rPr>
          <w:bCs/>
          <w:b/>
        </w:rPr>
        <w:t xml:space="preserve">Accuracy:</w:t>
      </w:r>
      <w:r>
        <w:t xml:space="preserve"> </w:t>
      </w:r>
      <w:r>
        <w:t xml:space="preserve">Translations will be compared against gold-standard human translations. A scoring rubric will be used to evaluate semantic fidelity, grammatical correctness, and cultural appropriateness.</w:t>
      </w:r>
    </w:p>
    <w:p>
      <w:pPr>
        <w:numPr>
          <w:ilvl w:val="0"/>
          <w:numId w:val="1003"/>
        </w:numPr>
        <w:pStyle w:val="Compact"/>
      </w:pPr>
      <w:r>
        <w:rPr>
          <w:bCs/>
          <w:b/>
        </w:rPr>
        <w:t xml:space="preserve">Performance:</w:t>
      </w:r>
      <w:r>
        <w:t xml:space="preserve"> </w:t>
      </w:r>
      <w:r>
        <w:t xml:space="preserve">System logs will capture response times, error rates, and connectivity issues.</w:t>
      </w:r>
    </w:p>
    <w:p>
      <w:pPr>
        <w:numPr>
          <w:ilvl w:val="0"/>
          <w:numId w:val="1003"/>
        </w:numPr>
        <w:pStyle w:val="Compact"/>
      </w:pPr>
      <w:r>
        <w:rPr>
          <w:bCs/>
          <w:b/>
        </w:rPr>
        <w:t xml:space="preserve">User Experience:</w:t>
      </w:r>
      <w:r>
        <w:t xml:space="preserve"> </w:t>
      </w:r>
      <w:r>
        <w:t xml:space="preserve">Surveys will use a Likert scale to measure ease of use, confidence in the translation, and overall satisfaction.</w:t>
      </w:r>
    </w:p>
    <w:p>
      <w:pPr>
        <w:pStyle w:val="FirstParagraph"/>
      </w:pPr>
      <w:r>
        <w:t xml:space="preserve">Statistical analysis will be performed using standard software packages. Results will be segmented by language pair and demographic group to identify any disparities in performance.</w:t>
      </w:r>
    </w:p>
    <w:p>
      <w:pPr>
        <w:pStyle w:val="BodyText"/>
      </w:pPr>
      <w:r>
        <w:t xml:space="preserve">5. Ethical Considerations</w:t>
      </w:r>
    </w:p>
    <w:p>
      <w:pPr>
        <w:pStyle w:val="BodyText"/>
      </w:pPr>
      <w:r>
        <w:t xml:space="preserve">This</w:t>
      </w:r>
      <w:r>
        <w:t xml:space="preserve"> </w:t>
      </w:r>
      <w:r>
        <w:rPr>
          <w:bCs/>
          <w:b/>
        </w:rPr>
        <w:t xml:space="preserve">Experiment Protocol</w:t>
      </w:r>
      <w:r>
        <w:t xml:space="preserve"> </w:t>
      </w:r>
      <w:r>
        <w:t xml:space="preserve">adheres to the ethical guidelines established by the Institutional Review Board (IRB) of the hosting institution in the United States. All participants will provide informed consent prior to enrollment. Data privacy will be maintained in accordance with California Consumer Privacy Act (CCPA) regulations. Audio recordings will be anonymized and stored securely.</w:t>
      </w:r>
    </w:p>
    <w:p>
      <w:pPr>
        <w:pStyle w:val="BodyText"/>
      </w:pPr>
      <w:r>
        <w:t xml:space="preserve">6. Risk Management</w:t>
      </w:r>
    </w:p>
    <w:p>
      <w:pPr>
        <w:pStyle w:val="BodyText"/>
      </w:pPr>
      <w:r>
        <w:t xml:space="preserve">Potential risks include miscommunication due to translation errors. To mitigate this, participants will be informed that the</w:t>
      </w:r>
      <w:r>
        <w:t xml:space="preserve"> </w:t>
      </w:r>
      <w:r>
        <w:rPr>
          <w:bCs/>
          <w:b/>
        </w:rPr>
        <w:t xml:space="preserve">Translator Interpreter</w:t>
      </w:r>
      <w:r>
        <w:t xml:space="preserve"> </w:t>
      </w:r>
      <w:r>
        <w:t xml:space="preserve">is an experimental tool and should not be relied upon for critical decisions without human verification. Support staff will be present during all sessions to assist participants.</w:t>
      </w:r>
    </w:p>
    <w:p>
      <w:pPr>
        <w:pStyle w:val="BodyText"/>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Weeks 1-2</w:t>
            </w:r>
          </w:p>
        </w:tc>
        <w:tc>
          <w:tcPr/>
          <w:p>
            <w:pPr>
              <w:pStyle w:val="Compact"/>
              <w:jc w:val="left"/>
            </w:pPr>
            <w:r>
              <w:t xml:space="preserve">Recruitment, IRB approval, device setup</w:t>
            </w:r>
          </w:p>
        </w:tc>
      </w:tr>
      <w:tr>
        <w:tc>
          <w:tcPr/>
          <w:p>
            <w:pPr>
              <w:pStyle w:val="Compact"/>
              <w:jc w:val="left"/>
            </w:pPr>
            <w:r>
              <w:t xml:space="preserve">Data Collection</w:t>
            </w:r>
          </w:p>
        </w:tc>
        <w:tc>
          <w:tcPr/>
          <w:p>
            <w:pPr>
              <w:pStyle w:val="Compact"/>
              <w:jc w:val="left"/>
            </w:pPr>
            <w:r>
              <w:t xml:space="preserve">Weeks 3-6</w:t>
            </w:r>
          </w:p>
        </w:tc>
        <w:tc>
          <w:tcPr/>
          <w:p>
            <w:pPr>
              <w:pStyle w:val="Compact"/>
              <w:jc w:val="left"/>
            </w:pPr>
            <w:r>
              <w:t xml:space="preserve">Conducting experiments in San Francisco</w:t>
            </w:r>
          </w:p>
        </w:tc>
      </w:tr>
      <w:tr>
        <w:tc>
          <w:tcPr/>
          <w:p>
            <w:pPr>
              <w:pStyle w:val="Compact"/>
              <w:jc w:val="left"/>
            </w:pPr>
            <w:r>
              <w:t xml:space="preserve">Analysis</w:t>
            </w:r>
          </w:p>
        </w:tc>
        <w:tc>
          <w:tcPr/>
          <w:p>
            <w:pPr>
              <w:pStyle w:val="Compact"/>
              <w:jc w:val="left"/>
            </w:pPr>
            <w:r>
              <w:t xml:space="preserve">Weeks 7-8</w:t>
            </w:r>
          </w:p>
        </w:tc>
        <w:tc>
          <w:tcPr/>
          <w:p>
            <w:pPr>
              <w:pStyle w:val="Compact"/>
              <w:jc w:val="left"/>
            </w:pPr>
            <w:r>
              <w:t xml:space="preserve">Data processing, statistical analysis</w:t>
            </w:r>
          </w:p>
        </w:tc>
      </w:tr>
      <w:tr>
        <w:tc>
          <w:tcPr/>
          <w:p>
            <w:pPr>
              <w:pStyle w:val="Compact"/>
              <w:jc w:val="left"/>
            </w:pPr>
            <w:r>
              <w:t xml:space="preserve">Reporting</w:t>
            </w:r>
          </w:p>
        </w:tc>
        <w:tc>
          <w:tcPr/>
          <w:p>
            <w:pPr>
              <w:pStyle w:val="Compact"/>
              <w:jc w:val="left"/>
            </w:pPr>
            <w:r>
              <w:t xml:space="preserve">Week 9</w:t>
            </w:r>
          </w:p>
        </w:tc>
        <w:tc>
          <w:tcPr/>
          <w:p>
            <w:pPr>
              <w:pStyle w:val="Compact"/>
              <w:jc w:val="left"/>
            </w:pPr>
            <w:r>
              <w:t xml:space="preserve">Final report generation and dissemination</w:t>
            </w:r>
          </w:p>
        </w:tc>
      </w:tr>
    </w:tbl>
    <w:p>
      <w:pPr>
        <w:pStyle w:val="BodyText"/>
      </w:pPr>
      <w:r>
        <w:t xml:space="preserve">8. Conclusion</w:t>
      </w:r>
    </w:p>
    <w:p>
      <w:pPr>
        <w:pStyle w:val="BodyText"/>
      </w:pPr>
      <w:r>
        <w:t xml:space="preserve">This</w:t>
      </w:r>
      <w:r>
        <w:t xml:space="preserve"> </w:t>
      </w:r>
      <w:r>
        <w:rPr>
          <w:bCs/>
          <w:b/>
        </w:rPr>
        <w:t xml:space="preserve">Experiment Protocol</w:t>
      </w:r>
      <w:r>
        <w:t xml:space="preserve"> </w:t>
      </w:r>
      <w:r>
        <w:t xml:space="preserve">provides a comprehensive framework for evaluating the</w:t>
      </w:r>
      <w:r>
        <w:t xml:space="preserve"> </w:t>
      </w:r>
      <w:r>
        <w:rPr>
          <w:bCs/>
          <w:b/>
        </w:rPr>
        <w:t xml:space="preserve">Translator Interpreter</w:t>
      </w:r>
      <w:r>
        <w:t xml:space="preserve"> </w:t>
      </w:r>
      <w:r>
        <w:t xml:space="preserve">in the linguistically rich environment of</w:t>
      </w:r>
      <w:r>
        <w:t xml:space="preserve"> </w:t>
      </w:r>
      <w:r>
        <w:rPr>
          <w:bCs/>
          <w:b/>
        </w:rPr>
        <w:t xml:space="preserve">United States San Francisco</w:t>
      </w:r>
      <w:r>
        <w:t xml:space="preserve">. The findings will contribute to the development of more robust and inclusive translation technologies, ultimately enhancing communication and accessibility for diverse communities.</w:t>
      </w:r>
    </w:p>
    <w:p>
      <w:pPr>
        <w:pStyle w:val="BodyText"/>
      </w:pPr>
      <w:r>
        <w:t xml:space="preserve">Document prepared for internal use only. Unauthorized distribution is prohibited.</w:t>
      </w:r>
      <w:r>
        <w:br/>
      </w:r>
      <w:r>
        <w:t xml:space="preserve">Contact: research@translatorinterpreter-sf.org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Evaluation in San Francisco</dc:title>
  <dc:creator/>
  <dc:language>en</dc:language>
  <cp:keywords/>
  <dcterms:created xsi:type="dcterms:W3CDTF">2026-10-10T04:07:24Z</dcterms:created>
  <dcterms:modified xsi:type="dcterms:W3CDTF">2026-10-10T04:07:24Z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