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China</w:t>
      </w:r>
      <w:r>
        <w:t xml:space="preserve"> </w:t>
      </w:r>
      <w:r>
        <w:t xml:space="preserve">Beijing</w:t>
      </w:r>
    </w:p>
    <w:bookmarkStart w:id="20" w:name="X40e1c617f0d5827b5a8cbe8358b9c2111d9f21e"/>
    <w:p>
      <w:pPr>
        <w:pStyle w:val="Heading1"/>
      </w:pPr>
      <w:r>
        <w:t xml:space="preserve">Experiment Protocol: UX/UI Design Evaluation</w:t>
      </w:r>
    </w:p>
    <w:p>
      <w:pPr>
        <w:pStyle w:val="FirstParagraph"/>
      </w:pPr>
      <w:r>
        <w:t xml:space="preserve">Target Region: China Beijing | Role: UX/UI Designer</w:t>
      </w:r>
    </w:p>
    <w:bookmarkEnd w:id="20"/>
    <w:p>
      <w:pPr>
        <w:pStyle w:val="BodyText"/>
      </w:pPr>
      <w:r>
        <w:rPr>
          <w:bCs/>
          <w:b/>
        </w:rPr>
        <w:t xml:space="preserve">Protocol ID:</w:t>
      </w:r>
      <w:r>
        <w:t xml:space="preserve"> </w:t>
      </w:r>
      <w:r>
        <w:t xml:space="preserve">CN-BJ-UX-2023-001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Haidian District, Beijing, China</w:t>
      </w:r>
    </w:p>
    <w:p>
      <w:pPr>
        <w:pStyle w:val="BodyText"/>
      </w:pPr>
      <w:r>
        <w:rPr>
          <w:bCs/>
          <w:b/>
        </w:rPr>
        <w:t xml:space="preserve">Lead Researcher:</w:t>
      </w:r>
      <w:r>
        <w:t xml:space="preserve"> </w:t>
      </w:r>
      <w:r>
        <w:t xml:space="preserve">Senior UX/UI Designer</w:t>
      </w:r>
    </w:p>
    <w:p>
      <w:pPr>
        <w:pStyle w:val="BodyText"/>
      </w:pP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Experiment Protocol outlines the methodology for evaluating the usability, accessibility, and cultural relevance of a digital product interface designed for the Beijing market. As a UX/UI Designer operating in China Beijing, it is critical to understand that user behavior here is distinct from Western markets due to high mobile penetration, the dominance of Super Apps (WeChat, Alipay), and specific cultural expectations regarding information density and trust signals.</w:t>
      </w:r>
    </w:p>
    <w:p>
      <w:pPr>
        <w:pStyle w:val="BodyText"/>
      </w:pPr>
      <w:r>
        <w:t xml:space="preserve">The primary objective of this experiment is to validate the current UI design against local user mental models. We aim to identify friction points in the user journey, assess the effectiveness of visual hierarchy, and ensure the UX aligns with the fast-paced, efficiency-driven lifestyle of Beijing residents.</w:t>
      </w:r>
    </w:p>
    <w:bookmarkEnd w:id="21"/>
    <w:bookmarkStart w:id="22" w:name="scope-and-context"/>
    <w:p>
      <w:pPr>
        <w:pStyle w:val="Heading2"/>
      </w:pPr>
      <w:r>
        <w:t xml:space="preserve">2. Scope and Context</w:t>
      </w:r>
    </w:p>
    <w:p>
      <w:pPr>
        <w:pStyle w:val="FirstParagraph"/>
      </w:pPr>
      <w:r>
        <w:t xml:space="preserve">The scope of this study is limited to the mobile application interface, as mobile-first is the standard in China. The experiment will focus on three core flows: Onboarding, Core Task Completion, and Payment Integration.</w:t>
      </w:r>
    </w:p>
    <w:p>
      <w:pPr>
        <w:pStyle w:val="BodyText"/>
      </w:pPr>
      <w:r>
        <w:rPr>
          <w:bCs/>
          <w:b/>
        </w:rPr>
        <w:t xml:space="preserve">Contextual Factors:</w:t>
      </w:r>
    </w:p>
    <w:p>
      <w:pPr>
        <w:numPr>
          <w:ilvl w:val="0"/>
          <w:numId w:val="1001"/>
        </w:numPr>
        <w:pStyle w:val="Compact"/>
      </w:pPr>
      <w:r>
        <w:rPr>
          <w:bCs/>
          <w:b/>
        </w:rPr>
        <w:t xml:space="preserve">Connectivity:</w:t>
      </w:r>
      <w:r>
        <w:t xml:space="preserve"> </w:t>
      </w:r>
      <w:r>
        <w:t xml:space="preserve">Testing assumes high-speed 5G or Wi-Fi environments typical in Beijing.</w:t>
      </w:r>
    </w:p>
    <w:p>
      <w:pPr>
        <w:numPr>
          <w:ilvl w:val="0"/>
          <w:numId w:val="1001"/>
        </w:numPr>
        <w:pStyle w:val="Compact"/>
      </w:pPr>
      <w:r>
        <w:rPr>
          <w:bCs/>
          <w:b/>
        </w:rPr>
        <w:t xml:space="preserve">Language:</w:t>
      </w:r>
      <w:r>
        <w:t xml:space="preserve"> </w:t>
      </w:r>
      <w:r>
        <w:t xml:space="preserve">All interfaces and instructions must be in Simplified Chinese.</w:t>
      </w:r>
    </w:p>
    <w:p>
      <w:pPr>
        <w:numPr>
          <w:ilvl w:val="0"/>
          <w:numId w:val="1001"/>
        </w:numPr>
        <w:pStyle w:val="Compact"/>
      </w:pPr>
      <w:r>
        <w:rPr>
          <w:bCs/>
          <w:b/>
        </w:rPr>
        <w:t xml:space="preserve">Platform:</w:t>
      </w:r>
      <w:r>
        <w:t xml:space="preserve"> </w:t>
      </w:r>
      <w:r>
        <w:t xml:space="preserve">Android and iOS, with specific attention to WeChat Mini-Program compatibility if applicable.</w:t>
      </w:r>
    </w:p>
    <w:bookmarkEnd w:id="22"/>
    <w:bookmarkStart w:id="25" w:name="participant-recruitment"/>
    <w:p>
      <w:pPr>
        <w:pStyle w:val="Heading2"/>
      </w:pPr>
      <w:r>
        <w:t xml:space="preserve">3. Participant Recruitment</w:t>
      </w:r>
    </w:p>
    <w:p>
      <w:pPr>
        <w:pStyle w:val="FirstParagraph"/>
      </w:pPr>
      <w:r>
        <w:t xml:space="preserve">To ensure valid results, participants must be recruited from the Beijing metropolitan area. The sample size will be 15 participants, divided into three groups of five.</w:t>
      </w:r>
    </w:p>
    <w:bookmarkStart w:id="23" w:name="demographic-criteria"/>
    <w:p>
      <w:pPr>
        <w:pStyle w:val="Heading3"/>
      </w:pPr>
      <w:r>
        <w:t xml:space="preserve">3.1 Demographic Criteria</w:t>
      </w:r>
    </w:p>
    <w:p>
      <w:pPr>
        <w:numPr>
          <w:ilvl w:val="0"/>
          <w:numId w:val="1002"/>
        </w:numPr>
        <w:pStyle w:val="Compact"/>
      </w:pPr>
      <w:r>
        <w:rPr>
          <w:bCs/>
          <w:b/>
        </w:rPr>
        <w:t xml:space="preserve">Age:</w:t>
      </w:r>
      <w:r>
        <w:t xml:space="preserve"> </w:t>
      </w:r>
      <w:r>
        <w:t xml:space="preserve">22–45 years old (Primary digital consumers in Beijing).</w:t>
      </w:r>
    </w:p>
    <w:p>
      <w:pPr>
        <w:numPr>
          <w:ilvl w:val="0"/>
          <w:numId w:val="1002"/>
        </w:numPr>
        <w:pStyle w:val="Compact"/>
      </w:pPr>
      <w:r>
        <w:rPr>
          <w:bCs/>
          <w:b/>
        </w:rPr>
        <w:t xml:space="preserve">Location:</w:t>
      </w:r>
      <w:r>
        <w:t xml:space="preserve"> </w:t>
      </w:r>
      <w:r>
        <w:t xml:space="preserve">Must reside in Beijing for at least 12 months.</w:t>
      </w:r>
    </w:p>
    <w:p>
      <w:pPr>
        <w:numPr>
          <w:ilvl w:val="0"/>
          <w:numId w:val="1002"/>
        </w:numPr>
        <w:pStyle w:val="Compact"/>
      </w:pPr>
      <w:r>
        <w:rPr>
          <w:bCs/>
          <w:b/>
        </w:rPr>
        <w:t xml:space="preserve">Tech Proficiency:</w:t>
      </w:r>
      <w:r>
        <w:t xml:space="preserve"> </w:t>
      </w:r>
      <w:r>
        <w:t xml:space="preserve">High. Daily users of smartphones for social, financial, and utility tasks.</w:t>
      </w:r>
    </w:p>
    <w:p>
      <w:pPr>
        <w:numPr>
          <w:ilvl w:val="0"/>
          <w:numId w:val="1002"/>
        </w:numPr>
        <w:pStyle w:val="Compact"/>
      </w:pPr>
      <w:r>
        <w:rPr>
          <w:bCs/>
          <w:b/>
        </w:rPr>
        <w:t xml:space="preserve">Language:</w:t>
      </w:r>
      <w:r>
        <w:t xml:space="preserve"> </w:t>
      </w:r>
      <w:r>
        <w:t xml:space="preserve">Native Mandarin speakers.</w:t>
      </w:r>
    </w:p>
    <w:bookmarkEnd w:id="23"/>
    <w:bookmarkStart w:id="24" w:name="segmentation"/>
    <w:p>
      <w:pPr>
        <w:pStyle w:val="Heading3"/>
      </w:pPr>
      <w:r>
        <w:t xml:space="preserve">3.2 Segmentation</w:t>
      </w:r>
    </w:p>
    <w:p>
      <w:pPr>
        <w:numPr>
          <w:ilvl w:val="0"/>
          <w:numId w:val="1003"/>
        </w:numPr>
        <w:pStyle w:val="Compact"/>
      </w:pPr>
      <w:r>
        <w:rPr>
          <w:bCs/>
          <w:b/>
        </w:rPr>
        <w:t xml:space="preserve">Group A (Tech-Savvy):</w:t>
      </w:r>
      <w:r>
        <w:t xml:space="preserve"> </w:t>
      </w:r>
      <w:r>
        <w:t xml:space="preserve">Professionals working in the Zhongguancun tech hub.</w:t>
      </w:r>
    </w:p>
    <w:p>
      <w:pPr>
        <w:numPr>
          <w:ilvl w:val="0"/>
          <w:numId w:val="1003"/>
        </w:numPr>
        <w:pStyle w:val="Compact"/>
      </w:pPr>
      <w:r>
        <w:rPr>
          <w:bCs/>
          <w:b/>
        </w:rPr>
        <w:t xml:space="preserve">Group B (Mainstream):</w:t>
      </w:r>
      <w:r>
        <w:t xml:space="preserve"> </w:t>
      </w:r>
      <w:r>
        <w:t xml:space="preserve">Office workers in CBD or Chaoyang District.</w:t>
      </w:r>
    </w:p>
    <w:p>
      <w:pPr>
        <w:numPr>
          <w:ilvl w:val="0"/>
          <w:numId w:val="1003"/>
        </w:numPr>
        <w:pStyle w:val="Compact"/>
      </w:pPr>
      <w:r>
        <w:rPr>
          <w:bCs/>
          <w:b/>
        </w:rPr>
        <w:t xml:space="preserve">Group C (Suburban):</w:t>
      </w:r>
      <w:r>
        <w:t xml:space="preserve"> </w:t>
      </w:r>
      <w:r>
        <w:t xml:space="preserve">Residents in expanding districts like Tongzhou, representing broader accessibility needs.</w:t>
      </w:r>
    </w:p>
    <w:bookmarkEnd w:id="24"/>
    <w:bookmarkEnd w:id="25"/>
    <w:bookmarkStart w:id="28" w:name="methodology"/>
    <w:p>
      <w:pPr>
        <w:pStyle w:val="Heading2"/>
      </w:pPr>
      <w:r>
        <w:t xml:space="preserve">4. Methodology</w:t>
      </w:r>
    </w:p>
    <w:p>
      <w:pPr>
        <w:pStyle w:val="FirstParagraph"/>
      </w:pPr>
      <w:r>
        <w:t xml:space="preserve">This experiment will utilize a mixed-methods approach, combining moderated usability testing with quantitative metrics. The UX/UI Designer will facilitate the sessions to observe non-verbal cues and immediate reactions.</w:t>
      </w:r>
    </w:p>
    <w:bookmarkStart w:id="26" w:name="task-based-usability-testing"/>
    <w:p>
      <w:pPr>
        <w:pStyle w:val="Heading3"/>
      </w:pPr>
      <w:r>
        <w:t xml:space="preserve">4.1 Task-Based Usability Testing</w:t>
      </w:r>
    </w:p>
    <w:p>
      <w:pPr>
        <w:pStyle w:val="FirstParagraph"/>
      </w:pPr>
      <w:r>
        <w:t xml:space="preserve">Participants will be asked to complete specific tasks using the prototype. The "Think Aloud" protocol will be employed, where users verbalize their thoughts in Mandarin while interacting with the UI.</w:t>
      </w:r>
    </w:p>
    <w:p>
      <w:pPr>
        <w:pStyle w:val="BodyText"/>
      </w:pPr>
      <w:r>
        <w:rPr>
          <w:bCs/>
          <w:b/>
        </w:rPr>
        <w:t xml:space="preserve">Key Tasks:</w:t>
      </w:r>
    </w:p>
    <w:p>
      <w:pPr>
        <w:numPr>
          <w:ilvl w:val="0"/>
          <w:numId w:val="1004"/>
        </w:numPr>
        <w:pStyle w:val="Compact"/>
      </w:pPr>
      <w:r>
        <w:t xml:space="preserve">Register an account using a Chinese mobile number (SMS verification).</w:t>
      </w:r>
    </w:p>
    <w:p>
      <w:pPr>
        <w:numPr>
          <w:ilvl w:val="0"/>
          <w:numId w:val="1004"/>
        </w:numPr>
        <w:pStyle w:val="Compact"/>
      </w:pPr>
      <w:r>
        <w:t xml:space="preserve">Navigate to the primary service page and select a specific option.</w:t>
      </w:r>
    </w:p>
    <w:p>
      <w:pPr>
        <w:numPr>
          <w:ilvl w:val="0"/>
          <w:numId w:val="1004"/>
        </w:numPr>
        <w:pStyle w:val="Compact"/>
      </w:pPr>
      <w:r>
        <w:t xml:space="preserve">Complete a transaction using WeChat Pay or Alipay.</w:t>
      </w:r>
    </w:p>
    <w:p>
      <w:pPr>
        <w:numPr>
          <w:ilvl w:val="0"/>
          <w:numId w:val="1004"/>
        </w:numPr>
        <w:pStyle w:val="Compact"/>
      </w:pPr>
      <w:r>
        <w:t xml:space="preserve">Find customer support via the in-app chat feature.</w:t>
      </w:r>
    </w:p>
    <w:bookmarkEnd w:id="26"/>
    <w:bookmarkStart w:id="27" w:name="visual-and-cultural-audit"/>
    <w:p>
      <w:pPr>
        <w:pStyle w:val="Heading3"/>
      </w:pPr>
      <w:r>
        <w:t xml:space="preserve">4.2 Visual and Cultural Audit</w:t>
      </w:r>
    </w:p>
    <w:p>
      <w:pPr>
        <w:pStyle w:val="FirstParagraph"/>
      </w:pPr>
      <w:r>
        <w:t xml:space="preserve">The UX/UI Designer will evaluate the interface for cultural appropriateness. This includes checking color psychology (e.g., ensuring red is used for luck/promotion rather than just error), iconography clarity, and text density. Beijing users often prefer information-rich interfaces over minimalist "white space" designs common in the West.</w:t>
      </w:r>
    </w:p>
    <w:bookmarkEnd w:id="27"/>
    <w:bookmarkEnd w:id="28"/>
    <w:bookmarkStart w:id="31" w:name="metrics-and-data-collection"/>
    <w:p>
      <w:pPr>
        <w:pStyle w:val="Heading2"/>
      </w:pPr>
      <w:r>
        <w:t xml:space="preserve">5. Metrics and Data Collection</w:t>
      </w:r>
    </w:p>
    <w:p>
      <w:pPr>
        <w:pStyle w:val="FirstParagraph"/>
      </w:pPr>
      <w:r>
        <w:t xml:space="preserve">Data will be collected to measure both efficiency and satisfaction.</w:t>
      </w:r>
    </w:p>
    <w:bookmarkStart w:id="29" w:name="quantitative-metrics"/>
    <w:p>
      <w:pPr>
        <w:pStyle w:val="Heading3"/>
      </w:pPr>
      <w:r>
        <w:t xml:space="preserve">5.1 Quantitative Metrics</w:t>
      </w:r>
    </w:p>
    <w:p>
      <w:pPr>
        <w:numPr>
          <w:ilvl w:val="0"/>
          <w:numId w:val="1005"/>
        </w:numPr>
        <w:pStyle w:val="Compact"/>
      </w:pPr>
      <w:r>
        <w:rPr>
          <w:bCs/>
          <w:b/>
        </w:rPr>
        <w:t xml:space="preserve">Task Success Rate:</w:t>
      </w:r>
      <w:r>
        <w:t xml:space="preserve"> </w:t>
      </w:r>
      <w:r>
        <w:t xml:space="preserve">Percentage of users who complete tasks without assistance.</w:t>
      </w:r>
    </w:p>
    <w:p>
      <w:pPr>
        <w:numPr>
          <w:ilvl w:val="0"/>
          <w:numId w:val="1005"/>
        </w:numPr>
        <w:pStyle w:val="Compact"/>
      </w:pPr>
      <w:r>
        <w:rPr>
          <w:bCs/>
          <w:b/>
        </w:rPr>
        <w:t xml:space="preserve">Time on Task:</w:t>
      </w:r>
      <w:r>
        <w:t xml:space="preserve"> </w:t>
      </w:r>
      <w:r>
        <w:t xml:space="preserve">Duration required to complete core flows.</w:t>
      </w:r>
    </w:p>
    <w:p>
      <w:pPr>
        <w:numPr>
          <w:ilvl w:val="0"/>
          <w:numId w:val="1005"/>
        </w:numPr>
        <w:pStyle w:val="Compact"/>
      </w:pPr>
      <w:r>
        <w:rPr>
          <w:bCs/>
          <w:b/>
        </w:rPr>
        <w:t xml:space="preserve">Error Rate:</w:t>
      </w:r>
      <w:r>
        <w:t xml:space="preserve"> </w:t>
      </w:r>
      <w:r>
        <w:t xml:space="preserve">Number of misclicks or navigation errors.</w:t>
      </w:r>
    </w:p>
    <w:p>
      <w:pPr>
        <w:numPr>
          <w:ilvl w:val="0"/>
          <w:numId w:val="1005"/>
        </w:numPr>
        <w:pStyle w:val="Compact"/>
      </w:pPr>
      <w:r>
        <w:rPr>
          <w:bCs/>
          <w:b/>
        </w:rPr>
        <w:t xml:space="preserve">SUS Score:</w:t>
      </w:r>
      <w:r>
        <w:t xml:space="preserve"> </w:t>
      </w:r>
      <w:r>
        <w:t xml:space="preserve">System Usability Scale adapted for Chinese language.</w:t>
      </w:r>
    </w:p>
    <w:bookmarkEnd w:id="29"/>
    <w:bookmarkStart w:id="30" w:name="qualitative-metrics"/>
    <w:p>
      <w:pPr>
        <w:pStyle w:val="Heading3"/>
      </w:pPr>
      <w:r>
        <w:t xml:space="preserve">5.2 Qualitative Metrics</w:t>
      </w:r>
    </w:p>
    <w:p>
      <w:pPr>
        <w:numPr>
          <w:ilvl w:val="0"/>
          <w:numId w:val="1006"/>
        </w:numPr>
        <w:pStyle w:val="Compact"/>
      </w:pPr>
      <w:r>
        <w:rPr>
          <w:bCs/>
          <w:b/>
        </w:rPr>
        <w:t xml:space="preserve">Heatmaps:</w:t>
      </w:r>
      <w:r>
        <w:t xml:space="preserve"> </w:t>
      </w:r>
      <w:r>
        <w:t xml:space="preserve">Eye-tracking data to see where attention is focused.</w:t>
      </w:r>
    </w:p>
    <w:p>
      <w:pPr>
        <w:numPr>
          <w:ilvl w:val="0"/>
          <w:numId w:val="1006"/>
        </w:numPr>
        <w:pStyle w:val="Compact"/>
      </w:pPr>
      <w:r>
        <w:rPr>
          <w:bCs/>
          <w:b/>
        </w:rPr>
        <w:t xml:space="preserve">Verbal Feedback:</w:t>
      </w:r>
      <w:r>
        <w:t xml:space="preserve"> </w:t>
      </w:r>
      <w:r>
        <w:t xml:space="preserve">Transcribed comments regarding trust, clarity, and aesthetic appeal.</w:t>
      </w:r>
    </w:p>
    <w:p>
      <w:pPr>
        <w:numPr>
          <w:ilvl w:val="0"/>
          <w:numId w:val="1006"/>
        </w:numPr>
        <w:pStyle w:val="Compact"/>
      </w:pPr>
      <w:r>
        <w:rPr>
          <w:bCs/>
          <w:b/>
        </w:rPr>
        <w:t xml:space="preserve">Emotional Response:</w:t>
      </w:r>
      <w:r>
        <w:t xml:space="preserve"> </w:t>
      </w:r>
      <w:r>
        <w:t xml:space="preserve">Observation of frustration or delight during interactions.</w:t>
      </w:r>
    </w:p>
    <w:bookmarkEnd w:id="30"/>
    <w:bookmarkEnd w:id="31"/>
    <w:bookmarkStart w:id="32" w:name="ethical-considerations-and-compliance"/>
    <w:p>
      <w:pPr>
        <w:pStyle w:val="Heading2"/>
      </w:pPr>
      <w:r>
        <w:t xml:space="preserve">6. Ethical Considerations and Compliance</w:t>
      </w:r>
    </w:p>
    <w:p>
      <w:pPr>
        <w:pStyle w:val="FirstParagraph"/>
      </w:pPr>
      <w:r>
        <w:t xml:space="preserve">As this experiment takes place in China, strict adherence to local data privacy laws is mandatory.</w:t>
      </w:r>
    </w:p>
    <w:p>
      <w:pPr>
        <w:numPr>
          <w:ilvl w:val="0"/>
          <w:numId w:val="1007"/>
        </w:numPr>
        <w:pStyle w:val="Compact"/>
      </w:pPr>
      <w:r>
        <w:rPr>
          <w:bCs/>
          <w:b/>
        </w:rPr>
        <w:t xml:space="preserve">PIPL Compliance:</w:t>
      </w:r>
      <w:r>
        <w:t xml:space="preserve"> </w:t>
      </w:r>
      <w:r>
        <w:t xml:space="preserve">The experiment must comply with the Personal Information Protection Law (PIPL). All personal data collected must be stored on servers located within mainland China.</w:t>
      </w:r>
    </w:p>
    <w:p>
      <w:pPr>
        <w:numPr>
          <w:ilvl w:val="0"/>
          <w:numId w:val="1007"/>
        </w:numPr>
        <w:pStyle w:val="Compact"/>
      </w:pPr>
      <w:r>
        <w:rPr>
          <w:bCs/>
          <w:b/>
        </w:rPr>
        <w:t xml:space="preserve">Informed Consent:</w:t>
      </w:r>
      <w:r>
        <w:t xml:space="preserve"> </w:t>
      </w:r>
      <w:r>
        <w:t xml:space="preserve">Participants must sign a consent form in Simplified Chinese explaining the purpose of the study and how their data will be used.</w:t>
      </w:r>
    </w:p>
    <w:p>
      <w:pPr>
        <w:numPr>
          <w:ilvl w:val="0"/>
          <w:numId w:val="1007"/>
        </w:numPr>
        <w:pStyle w:val="Compact"/>
      </w:pPr>
      <w:r>
        <w:rPr>
          <w:bCs/>
          <w:b/>
        </w:rPr>
        <w:t xml:space="preserve">Anonymity:</w:t>
      </w:r>
      <w:r>
        <w:t xml:space="preserve"> </w:t>
      </w:r>
      <w:r>
        <w:t xml:space="preserve">All recordings and data will be anonymized before analysis.</w:t>
      </w:r>
    </w:p>
    <w:bookmarkEnd w:id="32"/>
    <w:bookmarkStart w:id="33" w:name="deliverables"/>
    <w:p>
      <w:pPr>
        <w:pStyle w:val="Heading2"/>
      </w:pPr>
      <w:r>
        <w:t xml:space="preserve">7. Deliverables</w:t>
      </w:r>
    </w:p>
    <w:p>
      <w:pPr>
        <w:pStyle w:val="FirstParagraph"/>
      </w:pPr>
      <w:r>
        <w:t xml:space="preserve">Upon completion of the experiment, the UX/UI Designer will produce the following:</w:t>
      </w:r>
    </w:p>
    <w:p>
      <w:pPr>
        <w:numPr>
          <w:ilvl w:val="0"/>
          <w:numId w:val="1008"/>
        </w:numPr>
        <w:pStyle w:val="Compact"/>
      </w:pPr>
      <w:r>
        <w:rPr>
          <w:bCs/>
          <w:b/>
        </w:rPr>
        <w:t xml:space="preserve">Usability Report:</w:t>
      </w:r>
      <w:r>
        <w:t xml:space="preserve"> </w:t>
      </w:r>
      <w:r>
        <w:t xml:space="preserve">A detailed analysis of findings, including video clips of critical failures.</w:t>
      </w:r>
    </w:p>
    <w:p>
      <w:pPr>
        <w:numPr>
          <w:ilvl w:val="0"/>
          <w:numId w:val="1008"/>
        </w:numPr>
        <w:pStyle w:val="Compact"/>
      </w:pPr>
      <w:r>
        <w:rPr>
          <w:bCs/>
          <w:b/>
        </w:rPr>
        <w:t xml:space="preserve">Design Recommendations:</w:t>
      </w:r>
      <w:r>
        <w:t xml:space="preserve"> </w:t>
      </w:r>
      <w:r>
        <w:t xml:space="preserve">Actionable UI changes to improve conversion and usability.</w:t>
      </w:r>
    </w:p>
    <w:p>
      <w:pPr>
        <w:numPr>
          <w:ilvl w:val="0"/>
          <w:numId w:val="1008"/>
        </w:numPr>
        <w:pStyle w:val="Compact"/>
      </w:pPr>
      <w:r>
        <w:rPr>
          <w:bCs/>
          <w:b/>
        </w:rPr>
        <w:t xml:space="preserve">Updated Wireframes:</w:t>
      </w:r>
      <w:r>
        <w:t xml:space="preserve"> </w:t>
      </w:r>
      <w:r>
        <w:t xml:space="preserve">Revised designs incorporating feedback from Beijing users.</w:t>
      </w:r>
    </w:p>
    <w:p>
      <w:pPr>
        <w:pStyle w:val="FirstParagraph"/>
      </w:pPr>
      <w:r>
        <w:rPr>
          <w:bCs/>
          <w:b/>
        </w:rPr>
        <w:t xml:space="preserve">Note to Research Team:</w:t>
      </w:r>
      <w:r>
        <w:t xml:space="preserve"> </w:t>
      </w:r>
      <w:r>
        <w:t xml:space="preserve">Ensure that the testing environment is quiet and comfortable. In Beijing, offering a small gift or red envelope (Hongbao) as compensation is culturally appropriate and encourages honest feedback.</w:t>
      </w:r>
    </w:p>
    <w:p>
      <w:pPr>
        <w:pStyle w:val="BodyText"/>
      </w:pPr>
      <w:r>
        <w:t xml:space="preserve">© 2023 UX Research Division. All rights reserved. Protocol for internal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China Beijing</dc:title>
  <dc:creator/>
  <dc:language>en</dc:language>
  <cp:keywords/>
  <dcterms:created xsi:type="dcterms:W3CDTF">2026-10-10T01:15:57Z</dcterms:created>
  <dcterms:modified xsi:type="dcterms:W3CDTF">2026-10-10T01:15:57Z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