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Evaluation</w:t>
      </w:r>
      <w:r>
        <w:t xml:space="preserve"> </w:t>
      </w:r>
      <w:r>
        <w:t xml:space="preserve">-</w:t>
      </w:r>
      <w:r>
        <w:t xml:space="preserve"> </w:t>
      </w:r>
      <w:r>
        <w:t xml:space="preserve">Berlin,</w:t>
      </w:r>
      <w:r>
        <w:t xml:space="preserve"> </w:t>
      </w:r>
      <w:r>
        <w:t xml:space="preserve">Germany</w:t>
      </w:r>
    </w:p>
    <w:bookmarkStart w:id="31" w:name="X386a25dd22ffa4d280e98a9c1cb50c2dbd49fbf"/>
    <w:p>
      <w:pPr>
        <w:pStyle w:val="Heading1"/>
      </w:pPr>
      <w:r>
        <w:t xml:space="preserve">Experiment Protocol: UX/UI Designer Evaluation</w:t>
      </w:r>
    </w:p>
    <w:p>
      <w:pPr>
        <w:pStyle w:val="FirstParagraph"/>
      </w:pPr>
      <w:r>
        <w:rPr>
          <w:bCs/>
          <w:b/>
        </w:rPr>
        <w:t xml:space="preserve">Project Title:</w:t>
      </w:r>
      <w:r>
        <w:t xml:space="preserve"> </w:t>
      </w:r>
      <w:r>
        <w:t xml:space="preserve">Cross-Cultural Usability Assessment for FinTech Applications</w:t>
      </w:r>
    </w:p>
    <w:p>
      <w:pPr>
        <w:pStyle w:val="BodyText"/>
      </w:pPr>
      <w:r>
        <w:rPr>
          <w:bCs/>
          <w:b/>
        </w:rPr>
        <w:t xml:space="preserve">Location:</w:t>
      </w:r>
      <w:r>
        <w:t xml:space="preserve"> </w:t>
      </w:r>
      <w:r>
        <w:t xml:space="preserve">Berlin, Germany</w:t>
      </w:r>
    </w:p>
    <w:p>
      <w:pPr>
        <w:pStyle w:val="BodyText"/>
      </w:pPr>
      <w:r>
        <w:rPr>
          <w:bCs/>
          <w:b/>
        </w:rPr>
        <w:t xml:space="preserve">Target Role:</w:t>
      </w:r>
      <w:r>
        <w:t xml:space="preserve"> </w:t>
      </w:r>
      <w:r>
        <w:t xml:space="preserve">UX/UI Designer</w:t>
      </w:r>
    </w:p>
    <w:p>
      <w:pPr>
        <w:pStyle w:val="BodyText"/>
      </w:pPr>
      <w:r>
        <w:rPr>
          <w:bCs/>
          <w:b/>
        </w:rPr>
        <w:t xml:space="preserve">Date:</w:t>
      </w:r>
      <w:r>
        <w:t xml:space="preserve"> </w:t>
      </w:r>
      <w:r>
        <w:t xml:space="preserve">October 24, 2023</w:t>
      </w:r>
    </w:p>
    <w:p>
      <w:pPr>
        <w:pStyle w:val="BodyText"/>
      </w:pPr>
      <w:r>
        <w:rPr>
          <w:bCs/>
          <w:b/>
        </w:rPr>
        <w:t xml:space="preserve">Protocol 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document outlines the formal Experiment Protocol designed to evaluate the performance, methodology, and cultural adaptability of a UX/UI Designer within the specific context of Berlin, Germany. Berlin has established itself as a leading European hub for technology and startups, characterized by a diverse, multilingual user base and a high standard of digital literacy.</w:t>
      </w:r>
    </w:p>
    <w:p>
      <w:pPr>
        <w:pStyle w:val="BodyText"/>
      </w:pPr>
      <w:r>
        <w:t xml:space="preserve">The primary objective of this experiment is to determine whether the UX/UI Designer can effectively create user interfaces that not only meet global usability standards but also resonate with the local German user demographic. This involves assessing the designer's ability to navigate the unique intersection of minimalist aesthetics, strict data privacy expectations (GDPR), and the pragmatic user behavior typical of the Berlin market.</w:t>
      </w:r>
    </w:p>
    <w:bookmarkEnd w:id="20"/>
    <w:bookmarkStart w:id="21" w:name="scope-and-context"/>
    <w:p>
      <w:pPr>
        <w:pStyle w:val="Heading2"/>
      </w:pPr>
      <w:r>
        <w:t xml:space="preserve">2. Scope and Context</w:t>
      </w:r>
    </w:p>
    <w:p>
      <w:pPr>
        <w:pStyle w:val="FirstParagraph"/>
      </w:pPr>
      <w:r>
        <w:t xml:space="preserve">The scope of this experiment is limited to the design phase of a mobile banking application intended for young professionals in Berlin. The UX/UI Designer will be tasked with creating wireframes, high-fidelity prototypes, and conducting a usability test.</w:t>
      </w:r>
    </w:p>
    <w:p>
      <w:pPr>
        <w:pStyle w:val="BodyText"/>
      </w:pPr>
      <w:r>
        <w:t xml:space="preserve">The context is critical: Berlin users are known for being direct, efficiency-oriented, and skeptical of unnecessary data collection. Therefore, the experiment will heavily weigh the designer's ability to balance aesthetic appeal with functional transparency and legal compliance.</w:t>
      </w:r>
    </w:p>
    <w:bookmarkEnd w:id="21"/>
    <w:bookmarkStart w:id="25" w:name="methodology"/>
    <w:p>
      <w:pPr>
        <w:pStyle w:val="Heading2"/>
      </w:pPr>
      <w:r>
        <w:t xml:space="preserve">3. Methodology</w:t>
      </w:r>
    </w:p>
    <w:p>
      <w:pPr>
        <w:pStyle w:val="FirstParagraph"/>
      </w:pPr>
      <w:r>
        <w:t xml:space="preserve">The experiment will follow a structured design thinking approach, modified to include specific metrics relevant to the German market. The process is divided into three distinct phases:</w:t>
      </w:r>
    </w:p>
    <w:bookmarkStart w:id="22" w:name="phase-1-research-and-localization"/>
    <w:p>
      <w:pPr>
        <w:pStyle w:val="Heading3"/>
      </w:pPr>
      <w:r>
        <w:t xml:space="preserve">Phase 1: Research and Localization</w:t>
      </w:r>
    </w:p>
    <w:p>
      <w:pPr>
        <w:pStyle w:val="FirstParagraph"/>
      </w:pPr>
      <w:r>
        <w:t xml:space="preserve">The UX/UI Designer must conduct a brief competitive analysis of existing banking apps popular in Germany (e.g., N26, Comdirect). The designer is required to identify three key UX patterns that are specific to German users, such as the preference for clear fee structures and robust security indicators.</w:t>
      </w:r>
    </w:p>
    <w:bookmarkEnd w:id="22"/>
    <w:bookmarkStart w:id="23" w:name="phase-2-design-execution"/>
    <w:p>
      <w:pPr>
        <w:pStyle w:val="Heading3"/>
      </w:pPr>
      <w:r>
        <w:t xml:space="preserve">Phase 2: Design Execution</w:t>
      </w:r>
    </w:p>
    <w:p>
      <w:pPr>
        <w:pStyle w:val="FirstParagraph"/>
      </w:pPr>
      <w:r>
        <w:t xml:space="preserve">The designer will create a prototype for the "Money Transfer" feature. This phase will evaluate the visual hierarchy, typography, and color theory. In the context of Berlin, the design should avoid overly aggressive marketing language ("Dark Patterns") and instead focus on clarity and trust. The UI must be fully responsive and accessible, adhering to WCAG 2.1 AA standards, which are increasingly mandated in the EU.</w:t>
      </w:r>
    </w:p>
    <w:bookmarkEnd w:id="23"/>
    <w:bookmarkStart w:id="24" w:name="phase-3-usability-testing"/>
    <w:p>
      <w:pPr>
        <w:pStyle w:val="Heading3"/>
      </w:pPr>
      <w:r>
        <w:t xml:space="preserve">Phase 3: Usability Testing</w:t>
      </w:r>
    </w:p>
    <w:p>
      <w:pPr>
        <w:pStyle w:val="FirstParagraph"/>
      </w:pPr>
      <w:r>
        <w:t xml:space="preserve">A moderated usability test will be conducted with five participants recruited from Berlin. The tasks will include transferring money to a local account and verifying transaction history. The UX/UI Designer will observe and record friction points.</w:t>
      </w:r>
    </w:p>
    <w:bookmarkEnd w:id="24"/>
    <w:bookmarkEnd w:id="25"/>
    <w:bookmarkStart w:id="26" w:name="participant-criteria"/>
    <w:p>
      <w:pPr>
        <w:pStyle w:val="Heading2"/>
      </w:pPr>
      <w:r>
        <w:t xml:space="preserve">4. Participant Criteria</w:t>
      </w:r>
    </w:p>
    <w:p>
      <w:pPr>
        <w:pStyle w:val="FirstParagraph"/>
      </w:pPr>
      <w:r>
        <w:t xml:space="preserve">To ensure the validity of the experiment regarding the Berlin market, the test participants must meet the following criteria:</w:t>
      </w:r>
    </w:p>
    <w:p>
      <w:pPr>
        <w:numPr>
          <w:ilvl w:val="0"/>
          <w:numId w:val="1001"/>
        </w:numPr>
        <w:pStyle w:val="Compact"/>
      </w:pPr>
      <w:r>
        <w:t xml:space="preserve">Resident of Berlin, Germany for at least 12 months.</w:t>
      </w:r>
    </w:p>
    <w:p>
      <w:pPr>
        <w:numPr>
          <w:ilvl w:val="0"/>
          <w:numId w:val="1001"/>
        </w:numPr>
        <w:pStyle w:val="Compact"/>
      </w:pPr>
      <w:r>
        <w:t xml:space="preserve">Aged between 25 and 40 years old.</w:t>
      </w:r>
    </w:p>
    <w:p>
      <w:pPr>
        <w:numPr>
          <w:ilvl w:val="0"/>
          <w:numId w:val="1001"/>
        </w:numPr>
        <w:pStyle w:val="Compact"/>
      </w:pPr>
      <w:r>
        <w:t xml:space="preserve">Active users of mobile banking applications.</w:t>
      </w:r>
    </w:p>
    <w:p>
      <w:pPr>
        <w:numPr>
          <w:ilvl w:val="0"/>
          <w:numId w:val="1001"/>
        </w:numPr>
        <w:pStyle w:val="Compact"/>
      </w:pPr>
      <w:r>
        <w:t xml:space="preserve">Fluent in German and English (to test bilingual interface potential).</w:t>
      </w:r>
    </w:p>
    <w:bookmarkEnd w:id="26"/>
    <w:bookmarkStart w:id="27" w:name="evaluation-metrics"/>
    <w:p>
      <w:pPr>
        <w:pStyle w:val="Heading2"/>
      </w:pPr>
      <w:r>
        <w:t xml:space="preserve">5. Evaluation Metrics</w:t>
      </w:r>
    </w:p>
    <w:p>
      <w:pPr>
        <w:pStyle w:val="FirstParagraph"/>
      </w:pPr>
      <w:r>
        <w:t xml:space="preserve">The performance of the UX/UI Designer will be evaluated based on the following quantitative and qualitative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Task Success Rate</w:t>
            </w:r>
          </w:p>
        </w:tc>
        <w:tc>
          <w:tcPr/>
          <w:p>
            <w:pPr>
              <w:pStyle w:val="Compact"/>
              <w:jc w:val="left"/>
            </w:pPr>
            <w:r>
              <w:t xml:space="preserve">Percentage of participants who completed the transfer without assistance.</w:t>
            </w:r>
          </w:p>
        </w:tc>
        <w:tc>
          <w:tcPr/>
          <w:p>
            <w:pPr>
              <w:pStyle w:val="Compact"/>
              <w:jc w:val="left"/>
            </w:pPr>
            <w:r>
              <w:t xml:space="preserve">30%</w:t>
            </w:r>
          </w:p>
        </w:tc>
      </w:tr>
      <w:tr>
        <w:tc>
          <w:tcPr/>
          <w:p>
            <w:pPr>
              <w:pStyle w:val="Compact"/>
              <w:jc w:val="left"/>
            </w:pPr>
            <w:r>
              <w:t xml:space="preserve">Time on Task</w:t>
            </w:r>
          </w:p>
        </w:tc>
        <w:tc>
          <w:tcPr/>
          <w:p>
            <w:pPr>
              <w:pStyle w:val="Compact"/>
              <w:jc w:val="left"/>
            </w:pPr>
            <w:r>
              <w:t xml:space="preserve">Average time taken to complete the transfer. Berlin users expect high efficiency.</w:t>
            </w:r>
          </w:p>
        </w:tc>
        <w:tc>
          <w:tcPr/>
          <w:p>
            <w:pPr>
              <w:pStyle w:val="Compact"/>
              <w:jc w:val="left"/>
            </w:pPr>
            <w:r>
              <w:t xml:space="preserve">20%</w:t>
            </w:r>
          </w:p>
        </w:tc>
      </w:tr>
      <w:tr>
        <w:tc>
          <w:tcPr/>
          <w:p>
            <w:pPr>
              <w:pStyle w:val="Compact"/>
              <w:jc w:val="left"/>
            </w:pPr>
            <w:r>
              <w:t xml:space="preserve">GDPR Compliance</w:t>
            </w:r>
          </w:p>
        </w:tc>
        <w:tc>
          <w:tcPr/>
          <w:p>
            <w:pPr>
              <w:pStyle w:val="Compact"/>
              <w:jc w:val="left"/>
            </w:pPr>
            <w:r>
              <w:t xml:space="preserve">Clarity of consent forms and data usage explanations within the UI.</w:t>
            </w:r>
          </w:p>
        </w:tc>
        <w:tc>
          <w:tcPr/>
          <w:p>
            <w:pPr>
              <w:pStyle w:val="Compact"/>
              <w:jc w:val="left"/>
            </w:pPr>
            <w:r>
              <w:t xml:space="preserve">25%</w:t>
            </w:r>
          </w:p>
        </w:tc>
      </w:tr>
      <w:tr>
        <w:tc>
          <w:tcPr/>
          <w:p>
            <w:pPr>
              <w:pStyle w:val="Compact"/>
              <w:jc w:val="left"/>
            </w:pPr>
            <w:r>
              <w:t xml:space="preserve">Aesthetic Alignment</w:t>
            </w:r>
          </w:p>
        </w:tc>
        <w:tc>
          <w:tcPr/>
          <w:p>
            <w:pPr>
              <w:pStyle w:val="Compact"/>
              <w:jc w:val="left"/>
            </w:pPr>
            <w:r>
              <w:t xml:space="preserve">Adherence to modern, clean design trends prevalent in the Berlin tech scene.</w:t>
            </w:r>
          </w:p>
        </w:tc>
        <w:tc>
          <w:tcPr/>
          <w:p>
            <w:pPr>
              <w:pStyle w:val="Compact"/>
              <w:jc w:val="left"/>
            </w:pPr>
            <w:r>
              <w:t xml:space="preserve">15%</w:t>
            </w:r>
          </w:p>
        </w:tc>
      </w:tr>
      <w:tr>
        <w:tc>
          <w:tcPr/>
          <w:p>
            <w:pPr>
              <w:pStyle w:val="Compact"/>
              <w:jc w:val="left"/>
            </w:pPr>
            <w:r>
              <w:t xml:space="preserve">User Satisfaction (SUS)</w:t>
            </w:r>
          </w:p>
        </w:tc>
        <w:tc>
          <w:tcPr/>
          <w:p>
            <w:pPr>
              <w:pStyle w:val="Compact"/>
              <w:jc w:val="left"/>
            </w:pPr>
            <w:r>
              <w:t xml:space="preserve">System Usability Scale score from post-test surveys.</w:t>
            </w:r>
          </w:p>
        </w:tc>
        <w:tc>
          <w:tcPr/>
          <w:p>
            <w:pPr>
              <w:pStyle w:val="Compact"/>
              <w:jc w:val="left"/>
            </w:pPr>
            <w:r>
              <w:t xml:space="preserve">10%</w:t>
            </w:r>
          </w:p>
        </w:tc>
      </w:tr>
    </w:tbl>
    <w:bookmarkEnd w:id="27"/>
    <w:bookmarkStart w:id="28" w:name="ethical-considerations-and-data-privacy"/>
    <w:p>
      <w:pPr>
        <w:pStyle w:val="Heading2"/>
      </w:pPr>
      <w:r>
        <w:t xml:space="preserve">6. Ethical Considerations and Data Privacy</w:t>
      </w:r>
    </w:p>
    <w:p>
      <w:pPr>
        <w:pStyle w:val="FirstParagraph"/>
      </w:pPr>
      <w:r>
        <w:t xml:space="preserve">Given that this experiment takes place in Germany, strict adherence to the General Data Protection Regulation (GDPR) is mandatory. All participants must sign a digital consent form prior to the experiment.</w:t>
      </w:r>
    </w:p>
    <w:p>
      <w:pPr>
        <w:pStyle w:val="BodyText"/>
      </w:pPr>
      <w:r>
        <w:t xml:space="preserve">The UX/UI Designer is responsible for ensuring that no personally identifiable information (PII) is stored in the prototype. All data collected during the usability testing phase will be anonymized and stored on a secure server located within the European Union. Participants have the right to withdraw from the experiment at any time without penalty.</w:t>
      </w:r>
    </w:p>
    <w:bookmarkEnd w:id="28"/>
    <w:bookmarkStart w:id="29" w:name="deliverables"/>
    <w:p>
      <w:pPr>
        <w:pStyle w:val="Heading2"/>
      </w:pPr>
      <w:r>
        <w:t xml:space="preserve">7. Deliverables</w:t>
      </w:r>
    </w:p>
    <w:p>
      <w:pPr>
        <w:pStyle w:val="FirstParagraph"/>
      </w:pPr>
      <w:r>
        <w:t xml:space="preserve">Upon completion of the experiment, the UX/UI Designer must submit the following:</w:t>
      </w:r>
    </w:p>
    <w:p>
      <w:pPr>
        <w:numPr>
          <w:ilvl w:val="0"/>
          <w:numId w:val="1002"/>
        </w:numPr>
        <w:pStyle w:val="Compact"/>
      </w:pPr>
      <w:r>
        <w:t xml:space="preserve">A clickable high-fidelity prototype (Figma or Adobe XD).</w:t>
      </w:r>
    </w:p>
    <w:p>
      <w:pPr>
        <w:numPr>
          <w:ilvl w:val="0"/>
          <w:numId w:val="1002"/>
        </w:numPr>
        <w:pStyle w:val="Compact"/>
      </w:pPr>
      <w:r>
        <w:t xml:space="preserve">A design rationale document explaining key decisions, specifically addressing localization for the Berlin market.</w:t>
      </w:r>
    </w:p>
    <w:p>
      <w:pPr>
        <w:numPr>
          <w:ilvl w:val="0"/>
          <w:numId w:val="1002"/>
        </w:numPr>
        <w:pStyle w:val="Compact"/>
      </w:pPr>
      <w:r>
        <w:t xml:space="preserve">A summary report of the usability testing results, including heatmaps and user feedback.</w:t>
      </w:r>
    </w:p>
    <w:bookmarkEnd w:id="29"/>
    <w:bookmarkStart w:id="30" w:name="conclusion"/>
    <w:p>
      <w:pPr>
        <w:pStyle w:val="Heading2"/>
      </w:pPr>
      <w:r>
        <w:t xml:space="preserve">8. Conclusion</w:t>
      </w:r>
    </w:p>
    <w:p>
      <w:pPr>
        <w:pStyle w:val="FirstParagraph"/>
      </w:pPr>
      <w:r>
        <w:t xml:space="preserve">This Experiment Protocol serves as a rigorous framework for assessing the capabilities of a UX/UI Designer in a specific, high-demand market. By focusing on the unique cultural and regulatory landscape of Berlin, Germany, this protocol ensures that the selected designer is not only technically proficient but also culturally competent. Success in this experiment will indicate that the designer is well-equipped to create digital products that are trusted, usable, and successful in one of Europe's most dynamic tech ecosystems.</w:t>
      </w:r>
    </w:p>
    <w:p>
      <w:pPr>
        <w:pStyle w:val="BodyText"/>
      </w:pPr>
      <w:r>
        <w:rPr>
          <w:bCs/>
          <w:b/>
        </w:rPr>
        <w:t xml:space="preserve">Disclaimer:</w:t>
      </w:r>
      <w:r>
        <w:t xml:space="preserve"> </w:t>
      </w:r>
      <w:r>
        <w:t xml:space="preserve">This document is a template for experimental purposes. Actual implementation should be reviewed by legal counsel to ensure full compliance with current German labor and data protection laws.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Evaluation - Berlin, Germany</dc:title>
  <dc:creator/>
  <dc:language>en</dc:language>
  <cp:keywords/>
  <dcterms:created xsi:type="dcterms:W3CDTF">2026-10-10T02:39:38Z</dcterms:created>
  <dcterms:modified xsi:type="dcterms:W3CDTF">2026-10-10T02:39:38Z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