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Evaluation</w:t>
      </w:r>
      <w:r>
        <w:t xml:space="preserve"> </w:t>
      </w:r>
      <w:r>
        <w:t xml:space="preserve">in</w:t>
      </w:r>
      <w:r>
        <w:t xml:space="preserve"> </w:t>
      </w:r>
      <w:r>
        <w:t xml:space="preserve">Frankfurt,</w:t>
      </w:r>
      <w:r>
        <w:t xml:space="preserve"> </w:t>
      </w:r>
      <w:r>
        <w:t xml:space="preserve">Germany</w:t>
      </w:r>
    </w:p>
    <w:bookmarkStart w:id="28" w:name="Xfdf89f194e1393dfdd63522023119ea079e6e55"/>
    <w:p>
      <w:pPr>
        <w:pStyle w:val="Heading1"/>
      </w:pPr>
      <w:r>
        <w:t xml:space="preserve">Experiment Protocol: Usability Evaluation of Digital Interfaces</w:t>
      </w:r>
    </w:p>
    <w:p>
      <w:pPr>
        <w:pStyle w:val="FirstParagraph"/>
      </w:pPr>
      <w:r>
        <w:rPr>
          <w:bCs/>
          <w:b/>
        </w:rPr>
        <w:t xml:space="preserve">Project Title:</w:t>
      </w:r>
      <w:r>
        <w:t xml:space="preserve"> </w:t>
      </w:r>
      <w:r>
        <w:t xml:space="preserve">Cross-Cultural UX/UI Interaction Study</w:t>
      </w:r>
    </w:p>
    <w:p>
      <w:pPr>
        <w:pStyle w:val="BodyText"/>
      </w:pPr>
      <w:r>
        <w:rPr>
          <w:bCs/>
          <w:b/>
        </w:rPr>
        <w:t xml:space="preserve">Location:</w:t>
      </w:r>
      <w:r>
        <w:t xml:space="preserve"> </w:t>
      </w:r>
      <w:r>
        <w:t xml:space="preserve">Frankfurt am Main, Germany</w:t>
      </w:r>
    </w:p>
    <w:p>
      <w:pPr>
        <w:pStyle w:val="BodyText"/>
      </w:pPr>
      <w:r>
        <w:rPr>
          <w:bCs/>
          <w:b/>
        </w:rPr>
        <w:t xml:space="preserve">Role:</w:t>
      </w:r>
      <w:r>
        <w:t xml:space="preserve"> </w:t>
      </w:r>
      <w:r>
        <w:t xml:space="preserve">Lead UX/UI Designer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a controlled usability study designed to evaluate the effectiveness of a new financial technology application interface. As a UX/UI Designer operating within the dynamic digital landscape of Germany Frankfurt, it is imperative to ensure that digital products not only meet global standards but also resonate with the specific cultural, linguistic, and behavioral nuances of the local user base.</w:t>
      </w:r>
    </w:p>
    <w:p>
      <w:pPr>
        <w:pStyle w:val="BodyText"/>
      </w:pPr>
      <w:r>
        <w:t xml:space="preserve">The primary objective of this experiment is to identify friction points in the user journey, specifically focusing on the onboarding process and transaction execution. Frankfurt, being a global financial hub, presents a unique demographic of users who value precision, security, and efficiency. This protocol ensures that the UX/UI Designer can gather empirical data to refine the interface, ensuring it aligns with the high expectations of the Frankfurt market while adhering to strict European design standards.</w:t>
      </w:r>
    </w:p>
    <w:bookmarkEnd w:id="20"/>
    <w:bookmarkStart w:id="21" w:name="regulatory-compliance-and-ethics"/>
    <w:p>
      <w:pPr>
        <w:pStyle w:val="Heading2"/>
      </w:pPr>
      <w:r>
        <w:t xml:space="preserve">2. Regulatory Compliance and Ethics</w:t>
      </w:r>
    </w:p>
    <w:p>
      <w:pPr>
        <w:pStyle w:val="FirstParagraph"/>
      </w:pPr>
      <w:r>
        <w:t xml:space="preserve">Given the location in Germany, this experiment strictly adheres to the General Data Protection Regulation (GDPR). As the UX/UI Designer, I am responsible for ensuring that all participant data is anonymized and stored securely on servers located within the EU.</w:t>
      </w:r>
    </w:p>
    <w:p>
      <w:pPr>
        <w:pStyle w:val="BodyText"/>
      </w:pPr>
      <w:r>
        <w:t xml:space="preserve">Prior to the commencement of the experiment, all participants will be required to sign a digital informed consent form. This form will explicitly state the purpose of the study, the duration of the session, how data will be used, and the participant's right to withdraw at any time without penalty. This transparency is crucial for maintaining trust, a core value in German business culture.</w:t>
      </w:r>
    </w:p>
    <w:bookmarkEnd w:id="21"/>
    <w:bookmarkStart w:id="23" w:name="participant-recruitment"/>
    <w:p>
      <w:pPr>
        <w:pStyle w:val="Heading2"/>
      </w:pPr>
      <w:r>
        <w:t xml:space="preserve">3. Participant Recruitment</w:t>
      </w:r>
    </w:p>
    <w:p>
      <w:pPr>
        <w:pStyle w:val="FirstParagraph"/>
      </w:pPr>
      <w:r>
        <w:t xml:space="preserve">To ensure the validity of the results, the participant pool must accurately reflect the target audience in Frankfurt. We aim to recruit 15 participants, a number statistically sufficient to uncover approximately 85% of usability issues according to Nielsen Norman Group standards.</w:t>
      </w:r>
    </w:p>
    <w:bookmarkStart w:id="22" w:name="inclusion-criteria"/>
    <w:p>
      <w:pPr>
        <w:pStyle w:val="Heading3"/>
      </w:pPr>
      <w:r>
        <w:t xml:space="preserve">Inclusion Criteria:</w:t>
      </w:r>
    </w:p>
    <w:p>
      <w:pPr>
        <w:numPr>
          <w:ilvl w:val="0"/>
          <w:numId w:val="1001"/>
        </w:numPr>
        <w:pStyle w:val="Compact"/>
      </w:pPr>
      <w:r>
        <w:t xml:space="preserve">Residents of the Frankfurt am Main metropolitan area for at least 12 months.</w:t>
      </w:r>
    </w:p>
    <w:p>
      <w:pPr>
        <w:numPr>
          <w:ilvl w:val="0"/>
          <w:numId w:val="1001"/>
        </w:numPr>
        <w:pStyle w:val="Compact"/>
      </w:pPr>
      <w:r>
        <w:t xml:space="preserve">Aged between 25 and 55 years old.</w:t>
      </w:r>
    </w:p>
    <w:p>
      <w:pPr>
        <w:numPr>
          <w:ilvl w:val="0"/>
          <w:numId w:val="1001"/>
        </w:numPr>
        <w:pStyle w:val="Compact"/>
      </w:pPr>
      <w:r>
        <w:t xml:space="preserve">Proficient in German and English (B2 level or higher).</w:t>
      </w:r>
    </w:p>
    <w:p>
      <w:pPr>
        <w:numPr>
          <w:ilvl w:val="0"/>
          <w:numId w:val="1001"/>
        </w:numPr>
        <w:pStyle w:val="Compact"/>
      </w:pPr>
      <w:r>
        <w:t xml:space="preserve">Regular users of mobile banking or fintech applications.</w:t>
      </w:r>
    </w:p>
    <w:p>
      <w:pPr>
        <w:numPr>
          <w:ilvl w:val="0"/>
          <w:numId w:val="1001"/>
        </w:numPr>
        <w:pStyle w:val="Compact"/>
      </w:pPr>
      <w:r>
        <w:t xml:space="preserve">Employed in professional or administrative sectors, reflecting the economic profile of the city.</w:t>
      </w:r>
    </w:p>
    <w:p>
      <w:pPr>
        <w:pStyle w:val="FirstParagraph"/>
      </w:pPr>
      <w:r>
        <w:t xml:space="preserve">Recruitment will be conducted through local community boards in Frankfurt and professional networks. The UX/UI Designer will screen candidates to ensure a balanced mix of tech-savviness and demographic backgrounds.</w:t>
      </w:r>
    </w:p>
    <w:bookmarkEnd w:id="22"/>
    <w:bookmarkEnd w:id="23"/>
    <w:bookmarkStart w:id="24" w:name="experimental-design"/>
    <w:p>
      <w:pPr>
        <w:pStyle w:val="Heading2"/>
      </w:pPr>
      <w:r>
        <w:t xml:space="preserve">4. Experimental Design</w:t>
      </w:r>
    </w:p>
    <w:p>
      <w:pPr>
        <w:pStyle w:val="FirstParagraph"/>
      </w:pPr>
      <w:r>
        <w:t xml:space="preserve">This study utilizes a moderated, think-aloud protocol. This method allows the UX/UI Designer to observe not only what users do but also why they do it. The sessions will take place in a dedicated usability lab in central Frankfurt to minimize external distractions and ensure high-quality audio and video recording.</w:t>
      </w:r>
    </w:p>
    <w:p>
      <w:pPr>
        <w:pStyle w:val="BodyText"/>
      </w:pPr>
      <w:r>
        <w:t xml:space="preserve">The experiment follows a within-subjects design, where participants will interact with two different versions of the interface: the current control version and the proposed experimental version. This allows for a direct comparison of user performance and satisfaction metrics.</w:t>
      </w:r>
    </w:p>
    <w:bookmarkEnd w:id="24"/>
    <w:bookmarkStart w:id="25" w:name="procedure"/>
    <w:p>
      <w:pPr>
        <w:pStyle w:val="Heading2"/>
      </w:pPr>
      <w:r>
        <w:t xml:space="preserve">5. Procedure</w:t>
      </w:r>
    </w:p>
    <w:p>
      <w:pPr>
        <w:pStyle w:val="FirstParagraph"/>
      </w:pPr>
      <w:r>
        <w:t xml:space="preserve">Each session will last approximately 60 minutes and will follow this structured flow:</w:t>
      </w:r>
    </w:p>
    <w:p>
      <w:pPr>
        <w:numPr>
          <w:ilvl w:val="0"/>
          <w:numId w:val="1002"/>
        </w:numPr>
        <w:pStyle w:val="Compact"/>
      </w:pPr>
      <w:r>
        <w:rPr>
          <w:bCs/>
          <w:b/>
        </w:rPr>
        <w:t xml:space="preserve">Welcome and Consent (5 minutes):</w:t>
      </w:r>
      <w:r>
        <w:t xml:space="preserve"> </w:t>
      </w:r>
      <w:r>
        <w:t xml:space="preserve">The UX/UI Designer will welcome the participant, explain the study, and obtain GDPR-compliant consent.</w:t>
      </w:r>
    </w:p>
    <w:p>
      <w:pPr>
        <w:numPr>
          <w:ilvl w:val="0"/>
          <w:numId w:val="1002"/>
        </w:numPr>
        <w:pStyle w:val="Compact"/>
      </w:pPr>
      <w:r>
        <w:rPr>
          <w:bCs/>
          <w:b/>
        </w:rPr>
        <w:t xml:space="preserve">Background Questionnaire (10 minutes):</w:t>
      </w:r>
      <w:r>
        <w:t xml:space="preserve"> </w:t>
      </w:r>
      <w:r>
        <w:t xml:space="preserve">Gathering demographic data and digital habits relevant to the Frankfurt context.</w:t>
      </w:r>
    </w:p>
    <w:p>
      <w:pPr>
        <w:numPr>
          <w:ilvl w:val="0"/>
          <w:numId w:val="1002"/>
        </w:numPr>
        <w:pStyle w:val="Compact"/>
      </w:pPr>
      <w:r>
        <w:rPr>
          <w:bCs/>
          <w:b/>
        </w:rPr>
        <w:t xml:space="preserve">Task Execution - Control Version (15 minutes):</w:t>
      </w:r>
      <w:r>
        <w:t xml:space="preserve"> </w:t>
      </w:r>
      <w:r>
        <w:t xml:space="preserve">Participants complete three core tasks (e.g., "Transfer 50 Euros to a contact," "View monthly spending summary," "Update security settings") while thinking aloud.</w:t>
      </w:r>
    </w:p>
    <w:p>
      <w:pPr>
        <w:numPr>
          <w:ilvl w:val="0"/>
          <w:numId w:val="1002"/>
        </w:numPr>
        <w:pStyle w:val="Compact"/>
      </w:pPr>
      <w:r>
        <w:rPr>
          <w:bCs/>
          <w:b/>
        </w:rPr>
        <w:t xml:space="preserve">Task Execution - Experimental Version (15 minutes):</w:t>
      </w:r>
      <w:r>
        <w:t xml:space="preserve"> </w:t>
      </w:r>
      <w:r>
        <w:t xml:space="preserve">Participants repeat the tasks using the new UI design.</w:t>
      </w:r>
    </w:p>
    <w:p>
      <w:pPr>
        <w:numPr>
          <w:ilvl w:val="0"/>
          <w:numId w:val="1002"/>
        </w:numPr>
        <w:pStyle w:val="Compact"/>
      </w:pPr>
      <w:r>
        <w:rPr>
          <w:bCs/>
          <w:b/>
        </w:rPr>
        <w:t xml:space="preserve">Post-Experiment Interview (10 minutes):</w:t>
      </w:r>
      <w:r>
        <w:t xml:space="preserve"> </w:t>
      </w:r>
      <w:r>
        <w:t xml:space="preserve">A semi-structured interview to gather qualitative feedback on aesthetics, trust, and ease of use.</w:t>
      </w:r>
    </w:p>
    <w:p>
      <w:pPr>
        <w:numPr>
          <w:ilvl w:val="0"/>
          <w:numId w:val="1002"/>
        </w:numPr>
        <w:pStyle w:val="Compact"/>
      </w:pPr>
      <w:r>
        <w:rPr>
          <w:bCs/>
          <w:b/>
        </w:rPr>
        <w:t xml:space="preserve">Survey (5 minutes):</w:t>
      </w:r>
      <w:r>
        <w:t xml:space="preserve"> </w:t>
      </w:r>
      <w:r>
        <w:t xml:space="preserve">Participants complete the System Usability Scale (SUS) and Net Promoter Score (NPS) for both versions.</w:t>
      </w:r>
    </w:p>
    <w:bookmarkEnd w:id="25"/>
    <w:bookmarkStart w:id="26" w:name="metrics-and-data-collection"/>
    <w:p>
      <w:pPr>
        <w:pStyle w:val="Heading2"/>
      </w:pPr>
      <w:r>
        <w:t xml:space="preserve">6. Metrics and Data Collection</w:t>
      </w:r>
    </w:p>
    <w:p>
      <w:pPr>
        <w:pStyle w:val="FirstParagraph"/>
      </w:pPr>
      <w:r>
        <w:t xml:space="preserve">The UX/UI Designer will collect both quantitative and qualitative data to provide a holistic view of the user experience.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Type</w:t>
            </w:r>
          </w:p>
        </w:tc>
        <w:tc>
          <w:tcPr/>
          <w:p>
            <w:pPr>
              <w:pStyle w:val="Compact"/>
              <w:jc w:val="left"/>
            </w:pPr>
            <w:r>
              <w:t xml:space="preserve">Specific Measure</w:t>
            </w:r>
          </w:p>
        </w:tc>
        <w:tc>
          <w:tcPr/>
          <w:p>
            <w:pPr>
              <w:pStyle w:val="Compact"/>
              <w:jc w:val="left"/>
            </w:pPr>
            <w:r>
              <w:t xml:space="preserve">Tool/Method</w:t>
            </w:r>
          </w:p>
        </w:tc>
      </w:tr>
      <w:tr>
        <w:tc>
          <w:tcPr/>
          <w:p>
            <w:pPr>
              <w:pStyle w:val="Compact"/>
              <w:jc w:val="left"/>
            </w:pPr>
            <w:r>
              <w:t xml:space="preserve">Quantitative</w:t>
            </w:r>
          </w:p>
        </w:tc>
        <w:tc>
          <w:tcPr/>
          <w:p>
            <w:pPr>
              <w:pStyle w:val="Compact"/>
              <w:jc w:val="left"/>
            </w:pPr>
            <w:r>
              <w:t xml:space="preserve">Task Success Rate</w:t>
            </w:r>
          </w:p>
        </w:tc>
        <w:tc>
          <w:tcPr/>
          <w:p>
            <w:pPr>
              <w:pStyle w:val="Compact"/>
              <w:jc w:val="left"/>
            </w:pPr>
            <w:r>
              <w:t xml:space="preserve">Observer Checklist</w:t>
            </w:r>
          </w:p>
        </w:tc>
      </w:tr>
      <w:tr>
        <w:tc>
          <w:tcPr/>
          <w:p>
            <w:pPr>
              <w:pStyle w:val="Compact"/>
              <w:jc w:val="left"/>
            </w:pPr>
            <w:r>
              <w:t xml:space="preserve">Quantitative</w:t>
            </w:r>
          </w:p>
        </w:tc>
        <w:tc>
          <w:tcPr/>
          <w:p>
            <w:pPr>
              <w:pStyle w:val="Compact"/>
              <w:jc w:val="left"/>
            </w:pPr>
            <w:r>
              <w:t xml:space="preserve">Time on Task</w:t>
            </w:r>
          </w:p>
        </w:tc>
        <w:tc>
          <w:tcPr/>
          <w:p>
            <w:pPr>
              <w:pStyle w:val="Compact"/>
              <w:jc w:val="left"/>
            </w:pPr>
            <w:r>
              <w:t xml:space="preserve">Screen Recording Software</w:t>
            </w:r>
          </w:p>
        </w:tc>
      </w:tr>
      <w:tr>
        <w:tc>
          <w:tcPr/>
          <w:p>
            <w:pPr>
              <w:pStyle w:val="Compact"/>
              <w:jc w:val="left"/>
            </w:pPr>
            <w:r>
              <w:t xml:space="preserve">Quantitative</w:t>
            </w:r>
          </w:p>
        </w:tc>
        <w:tc>
          <w:tcPr/>
          <w:p>
            <w:pPr>
              <w:pStyle w:val="Compact"/>
              <w:jc w:val="left"/>
            </w:pPr>
            <w:r>
              <w:t xml:space="preserve">Error Rate</w:t>
            </w:r>
          </w:p>
        </w:tc>
        <w:tc>
          <w:tcPr/>
          <w:p>
            <w:pPr>
              <w:pStyle w:val="Compact"/>
              <w:jc w:val="left"/>
            </w:pPr>
            <w:r>
              <w:t xml:space="preserve">Observer Checklist</w:t>
            </w:r>
          </w:p>
        </w:tc>
      </w:tr>
      <w:tr>
        <w:tc>
          <w:tcPr/>
          <w:p>
            <w:pPr>
              <w:pStyle w:val="Compact"/>
              <w:jc w:val="left"/>
            </w:pPr>
            <w:r>
              <w:t xml:space="preserve">Qualitative</w:t>
            </w:r>
          </w:p>
        </w:tc>
        <w:tc>
          <w:tcPr/>
          <w:p>
            <w:pPr>
              <w:pStyle w:val="Compact"/>
              <w:jc w:val="left"/>
            </w:pPr>
            <w:r>
              <w:t xml:space="preserve">User Sentiment</w:t>
            </w:r>
          </w:p>
        </w:tc>
        <w:tc>
          <w:tcPr/>
          <w:p>
            <w:pPr>
              <w:pStyle w:val="Compact"/>
              <w:jc w:val="left"/>
            </w:pPr>
            <w:r>
              <w:t xml:space="preserve">Think-Aloud Protocol</w:t>
            </w:r>
          </w:p>
        </w:tc>
      </w:tr>
      <w:tr>
        <w:tc>
          <w:tcPr/>
          <w:p>
            <w:pPr>
              <w:pStyle w:val="Compact"/>
              <w:jc w:val="left"/>
            </w:pPr>
            <w:r>
              <w:t xml:space="preserve">Qualitative</w:t>
            </w:r>
          </w:p>
        </w:tc>
        <w:tc>
          <w:tcPr/>
          <w:p>
            <w:pPr>
              <w:pStyle w:val="Compact"/>
              <w:jc w:val="left"/>
            </w:pPr>
            <w:r>
              <w:t xml:space="preserve">Perceived Trust</w:t>
            </w:r>
          </w:p>
        </w:tc>
        <w:tc>
          <w:tcPr/>
          <w:p>
            <w:pPr>
              <w:pStyle w:val="Compact"/>
              <w:jc w:val="left"/>
            </w:pPr>
            <w:r>
              <w:t xml:space="preserve">Post-Session Interview</w:t>
            </w:r>
          </w:p>
        </w:tc>
      </w:tr>
    </w:tbl>
    <w:bookmarkEnd w:id="26"/>
    <w:bookmarkStart w:id="27" w:name="analysis-and-reporting"/>
    <w:p>
      <w:pPr>
        <w:pStyle w:val="Heading2"/>
      </w:pPr>
      <w:r>
        <w:t xml:space="preserve">7. Analysis and Reporting</w:t>
      </w:r>
    </w:p>
    <w:p>
      <w:pPr>
        <w:pStyle w:val="FirstParagraph"/>
      </w:pPr>
      <w:r>
        <w:t xml:space="preserve">Following the completion of all sessions, the UX/UI Designer will synthesize the findings. Quantitative data will be analyzed to determine statistical significance between the control and experimental versions. Qualitative data will be coded to identify recurring themes, such as confusion regarding specific terminology or appreciation for specific visual cues.</w:t>
      </w:r>
    </w:p>
    <w:p>
      <w:pPr>
        <w:pStyle w:val="BodyText"/>
      </w:pPr>
      <w:r>
        <w:t xml:space="preserve">The final report will provide actionable recommendations for the design team. Special attention will be paid to how the interface performs within the cultural context of Germany Frankfurt, ensuring that the design language respects local norms regarding privacy, formality, and information density.</w:t>
      </w:r>
    </w:p>
    <w:p>
      <w:pPr>
        <w:pStyle w:val="BodyText"/>
      </w:pPr>
      <w:r>
        <w:t xml:space="preserve">Document prepared by the UX/UI Design Department. Confidential and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Evaluation in Frankfurt, Germany</dc:title>
  <dc:creator/>
  <dc:language>en</dc:language>
  <cp:keywords/>
  <dcterms:created xsi:type="dcterms:W3CDTF">2026-10-10T04:00:24Z</dcterms:created>
  <dcterms:modified xsi:type="dcterms:W3CDTF">2026-10-10T04:00:24Z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