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Munich</w:t>
      </w:r>
    </w:p>
    <w:bookmarkStart w:id="34" w:name="X0263ea9dcd57def37b50e7f03c83f70427aecd8"/>
    <w:p>
      <w:pPr>
        <w:pStyle w:val="Heading1"/>
      </w:pPr>
      <w:r>
        <w:t xml:space="preserve">Experiment Protocol: Comparative Usability Analysis of UX/UI Design Patterns</w:t>
      </w:r>
    </w:p>
    <w:p>
      <w:pPr>
        <w:pStyle w:val="FirstParagraph"/>
      </w:pPr>
      <w:r>
        <w:rPr>
          <w:bCs/>
          <w:b/>
        </w:rPr>
        <w:t xml:space="preserve">Project Title:</w:t>
      </w:r>
      <w:r>
        <w:t xml:space="preserve"> </w:t>
      </w:r>
      <w:r>
        <w:t xml:space="preserve">Cross-Cultural Interface Adaptation for the Munich Metropolitan Region</w:t>
      </w:r>
    </w:p>
    <w:p>
      <w:pPr>
        <w:pStyle w:val="BodyText"/>
      </w:pPr>
      <w:r>
        <w:rPr>
          <w:bCs/>
          <w:b/>
        </w:rPr>
        <w:t xml:space="preserve">Location:</w:t>
      </w:r>
      <w:r>
        <w:t xml:space="preserve"> </w:t>
      </w:r>
      <w:r>
        <w:t xml:space="preserve">Munich, Germany (Bavaria)</w:t>
      </w:r>
    </w:p>
    <w:p>
      <w:pPr>
        <w:pStyle w:val="BodyText"/>
      </w:pPr>
      <w:r>
        <w:rPr>
          <w:bCs/>
          <w:b/>
        </w:rPr>
        <w:t xml:space="preserve">Role Focus:</w:t>
      </w:r>
      <w:r>
        <w:t xml:space="preserve"> </w:t>
      </w:r>
      <w:r>
        <w:t xml:space="preserve">UX/UI Designer Methodology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efficacy of specific User Experience (UX) and User Interface (UI) design strategies within the unique cultural and technological context of Munich, Germany. As a leading hub for technology, automotive engineering, and finance in Europe, Munich presents a distinct user demographic characterized by high digital literacy, a strong preference for data privacy, and specific aesthetic expectations.</w:t>
      </w:r>
    </w:p>
    <w:p>
      <w:pPr>
        <w:pStyle w:val="BodyText"/>
      </w:pPr>
      <w:r>
        <w:t xml:space="preserve">The primary objective of this experiment is to determine how localized UX/UI design interventions impact user trust, task completion rates, and overall satisfaction among Munich-based users. The protocol is structured to guide UX/UI Designers through a rigorous testing phase, ensuring that design decisions are not merely aesthetic but are empirically validated against the behavioral norms of the target audience in Bavaria.</w:t>
      </w:r>
    </w:p>
    <w:bookmarkEnd w:id="20"/>
    <w:bookmarkStart w:id="23" w:name="objectives-and-hypotheses"/>
    <w:p>
      <w:pPr>
        <w:pStyle w:val="Heading2"/>
      </w:pPr>
      <w:r>
        <w:t xml:space="preserve">2. Objectives and Hypotheses</w:t>
      </w:r>
    </w:p>
    <w:p>
      <w:pPr>
        <w:pStyle w:val="FirstParagraph"/>
      </w:pPr>
      <w:r>
        <w:t xml:space="preserve">The core goal is to refine the digital product interface to align with the "Munich Standard" of usability. This involves balancing modern minimalism with the functional density often preferred by German professionals.</w:t>
      </w:r>
    </w:p>
    <w:bookmarkStart w:id="21" w:name="primary-objectives"/>
    <w:p>
      <w:pPr>
        <w:pStyle w:val="Heading3"/>
      </w:pPr>
      <w:r>
        <w:t xml:space="preserve">Primary Objectives:</w:t>
      </w:r>
    </w:p>
    <w:p>
      <w:pPr>
        <w:numPr>
          <w:ilvl w:val="0"/>
          <w:numId w:val="1001"/>
        </w:numPr>
        <w:pStyle w:val="Compact"/>
      </w:pPr>
      <w:r>
        <w:t xml:space="preserve">To measure the impact of privacy-centric UI cues on user trust levels.</w:t>
      </w:r>
    </w:p>
    <w:p>
      <w:pPr>
        <w:numPr>
          <w:ilvl w:val="0"/>
          <w:numId w:val="1001"/>
        </w:numPr>
        <w:pStyle w:val="Compact"/>
      </w:pPr>
      <w:r>
        <w:t xml:space="preserve">To evaluate the effectiveness of bilingual (German/English) navigation structures.</w:t>
      </w:r>
    </w:p>
    <w:p>
      <w:pPr>
        <w:numPr>
          <w:ilvl w:val="0"/>
          <w:numId w:val="1001"/>
        </w:numPr>
        <w:pStyle w:val="Compact"/>
      </w:pPr>
      <w:r>
        <w:t xml:space="preserve">To assess the cognitive load associated with complex data visualization dashboards.</w:t>
      </w:r>
    </w:p>
    <w:bookmarkEnd w:id="21"/>
    <w:bookmarkStart w:id="22" w:name="hypotheses"/>
    <w:p>
      <w:pPr>
        <w:pStyle w:val="Heading3"/>
      </w:pPr>
      <w:r>
        <w:t xml:space="preserve">Hypotheses:</w:t>
      </w:r>
    </w:p>
    <w:p>
      <w:pPr>
        <w:numPr>
          <w:ilvl w:val="0"/>
          <w:numId w:val="1002"/>
        </w:numPr>
        <w:pStyle w:val="Compact"/>
      </w:pPr>
      <w:r>
        <w:rPr>
          <w:bCs/>
          <w:b/>
        </w:rPr>
        <w:t xml:space="preserve">H1:</w:t>
      </w:r>
      <w:r>
        <w:t xml:space="preserve"> </w:t>
      </w:r>
      <w:r>
        <w:t xml:space="preserve">Users in Munich will demonstrate a 20% higher completion rate for transactions when explicit data security indicators are prominently displayed in the UI.</w:t>
      </w:r>
    </w:p>
    <w:p>
      <w:pPr>
        <w:numPr>
          <w:ilvl w:val="0"/>
          <w:numId w:val="1002"/>
        </w:numPr>
        <w:pStyle w:val="Compact"/>
      </w:pPr>
      <w:r>
        <w:rPr>
          <w:bCs/>
          <w:b/>
        </w:rPr>
        <w:t xml:space="preserve">H2:</w:t>
      </w:r>
      <w:r>
        <w:t xml:space="preserve"> </w:t>
      </w:r>
      <w:r>
        <w:t xml:space="preserve">A "German-first" language strategy with optional English toggles will reduce bounce rates compared to an English-default interface.</w:t>
      </w:r>
    </w:p>
    <w:p>
      <w:pPr>
        <w:numPr>
          <w:ilvl w:val="0"/>
          <w:numId w:val="1002"/>
        </w:numPr>
        <w:pStyle w:val="Compact"/>
      </w:pPr>
      <w:r>
        <w:rPr>
          <w:bCs/>
          <w:b/>
        </w:rPr>
        <w:t xml:space="preserve">H3:</w:t>
      </w:r>
      <w:r>
        <w:t xml:space="preserve"> </w:t>
      </w:r>
      <w:r>
        <w:t xml:space="preserve">High-fidelity prototypes that adhere to strict grid systems will be perceived as more reliable than fluid, organic layouts.</w:t>
      </w:r>
    </w:p>
    <w:bookmarkEnd w:id="22"/>
    <w:bookmarkEnd w:id="23"/>
    <w:bookmarkStart w:id="26" w:name="methodology"/>
    <w:p>
      <w:pPr>
        <w:pStyle w:val="Heading2"/>
      </w:pPr>
      <w:r>
        <w:t xml:space="preserve">3. Methodology</w:t>
      </w:r>
    </w:p>
    <w:p>
      <w:pPr>
        <w:pStyle w:val="FirstParagraph"/>
      </w:pPr>
      <w:r>
        <w:t xml:space="preserve">This experiment will utilize a mixed-methods approach, combining quantitative usability metrics with qualitative user feedback. The study will be conducted in a controlled laboratory environment located in the Schwabing district of Munich, known for its proximity to universities and tech startups, ensuring access to a diverse yet relevant participant pool.</w:t>
      </w:r>
    </w:p>
    <w:bookmarkStart w:id="24" w:name="participants"/>
    <w:p>
      <w:pPr>
        <w:pStyle w:val="Heading3"/>
      </w:pPr>
      <w:r>
        <w:t xml:space="preserve">3.1 Participants</w:t>
      </w:r>
    </w:p>
    <w:p>
      <w:pPr>
        <w:pStyle w:val="FirstParagraph"/>
      </w:pPr>
      <w:r>
        <w:t xml:space="preserve">We will recruit 40 participants residing in Munich and its immediate suburbs. The demographic breakdown is as follows:</w:t>
      </w:r>
    </w:p>
    <w:p>
      <w:pPr>
        <w:numPr>
          <w:ilvl w:val="0"/>
          <w:numId w:val="1003"/>
        </w:numPr>
        <w:pStyle w:val="Compact"/>
      </w:pPr>
      <w:r>
        <w:rPr>
          <w:bCs/>
          <w:b/>
        </w:rPr>
        <w:t xml:space="preserve">Age:</w:t>
      </w:r>
      <w:r>
        <w:t xml:space="preserve"> </w:t>
      </w:r>
      <w:r>
        <w:t xml:space="preserve">25–55 years old.</w:t>
      </w:r>
    </w:p>
    <w:p>
      <w:pPr>
        <w:numPr>
          <w:ilvl w:val="0"/>
          <w:numId w:val="1003"/>
        </w:numPr>
        <w:pStyle w:val="Compact"/>
      </w:pPr>
      <w:r>
        <w:rPr>
          <w:bCs/>
          <w:b/>
        </w:rPr>
        <w:t xml:space="preserve">Occupation:</w:t>
      </w:r>
      <w:r>
        <w:t xml:space="preserve"> </w:t>
      </w:r>
      <w:r>
        <w:t xml:space="preserve">Mixed, including IT professionals, administrative staff, and students.</w:t>
      </w:r>
    </w:p>
    <w:p>
      <w:pPr>
        <w:numPr>
          <w:ilvl w:val="0"/>
          <w:numId w:val="1003"/>
        </w:numPr>
        <w:pStyle w:val="Compact"/>
      </w:pPr>
      <w:r>
        <w:rPr>
          <w:bCs/>
          <w:b/>
        </w:rPr>
        <w:t xml:space="preserve">Language:</w:t>
      </w:r>
      <w:r>
        <w:t xml:space="preserve"> </w:t>
      </w:r>
      <w:r>
        <w:t xml:space="preserve">Native German speakers with varying levels of English proficiency.</w:t>
      </w:r>
    </w:p>
    <w:p>
      <w:pPr>
        <w:numPr>
          <w:ilvl w:val="0"/>
          <w:numId w:val="1003"/>
        </w:numPr>
        <w:pStyle w:val="Compact"/>
      </w:pPr>
      <w:r>
        <w:rPr>
          <w:bCs/>
          <w:b/>
        </w:rPr>
        <w:t xml:space="preserve">Tech Savviness:</w:t>
      </w:r>
      <w:r>
        <w:t xml:space="preserve"> </w:t>
      </w:r>
      <w:r>
        <w:t xml:space="preserve">Moderate to High.</w:t>
      </w:r>
    </w:p>
    <w:bookmarkEnd w:id="24"/>
    <w:bookmarkStart w:id="25" w:name="experimental-design"/>
    <w:p>
      <w:pPr>
        <w:pStyle w:val="Heading3"/>
      </w:pPr>
      <w:r>
        <w:t xml:space="preserve">3.2 Experimental Design</w:t>
      </w:r>
    </w:p>
    <w:p>
      <w:pPr>
        <w:pStyle w:val="FirstParagraph"/>
      </w:pPr>
      <w:r>
        <w:t xml:space="preserve">The study employs a Between-Subjects Design. Participants will be randomly assigned to one of two groups:</w:t>
      </w:r>
    </w:p>
    <w:p>
      <w:pPr>
        <w:numPr>
          <w:ilvl w:val="0"/>
          <w:numId w:val="1004"/>
        </w:numPr>
        <w:pStyle w:val="Compact"/>
      </w:pPr>
      <w:r>
        <w:rPr>
          <w:bCs/>
          <w:b/>
        </w:rPr>
        <w:t xml:space="preserve">Control Group (A):</w:t>
      </w:r>
      <w:r>
        <w:t xml:space="preserve"> </w:t>
      </w:r>
      <w:r>
        <w:t xml:space="preserve">Interacts with the current global standard UI (English default, minimal privacy cues).</w:t>
      </w:r>
    </w:p>
    <w:p>
      <w:pPr>
        <w:numPr>
          <w:ilvl w:val="0"/>
          <w:numId w:val="1004"/>
        </w:numPr>
        <w:pStyle w:val="Compact"/>
      </w:pPr>
      <w:r>
        <w:rPr>
          <w:bCs/>
          <w:b/>
        </w:rPr>
        <w:t xml:space="preserve">Experimental Group (B):</w:t>
      </w:r>
      <w:r>
        <w:t xml:space="preserve"> </w:t>
      </w:r>
      <w:r>
        <w:t xml:space="preserve">Interacts with the Munich-optimized UI (German default, prominent privacy seals, structured layout).</w:t>
      </w:r>
    </w:p>
    <w:bookmarkEnd w:id="25"/>
    <w:bookmarkEnd w:id="26"/>
    <w:bookmarkStart w:id="30" w:name="procedure"/>
    <w:p>
      <w:pPr>
        <w:pStyle w:val="Heading2"/>
      </w:pPr>
      <w:r>
        <w:t xml:space="preserve">4. Procedure</w:t>
      </w:r>
    </w:p>
    <w:p>
      <w:pPr>
        <w:pStyle w:val="FirstParagraph"/>
      </w:pPr>
      <w:r>
        <w:t xml:space="preserve">The session will last approximately 60 minutes per participant. The UX/UI Designer will observe the sessions but will not intervene unless the participant is completely stuck for more than 60 seconds.</w:t>
      </w:r>
    </w:p>
    <w:bookmarkStart w:id="27" w:name="X51918dc6b9b60cc17dde3c8488d39844b7963f6"/>
    <w:p>
      <w:pPr>
        <w:pStyle w:val="Heading3"/>
      </w:pPr>
      <w:r>
        <w:t xml:space="preserve">Phase 1: Onboarding and Consent (10 Minutes)</w:t>
      </w:r>
    </w:p>
    <w:p>
      <w:pPr>
        <w:pStyle w:val="FirstParagraph"/>
      </w:pPr>
      <w:r>
        <w:t xml:space="preserve">Participants will be greeted in German. Due to strict German data protection laws (DSGVO/GDPR), a detailed consent form will be presented. This form will explicitly state how their data will be used, stored, and deleted, reflecting the local legal and cultural emphasis on privacy.</w:t>
      </w:r>
    </w:p>
    <w:bookmarkEnd w:id="27"/>
    <w:bookmarkStart w:id="28" w:name="phase-2-task-execution-30-minutes"/>
    <w:p>
      <w:pPr>
        <w:pStyle w:val="Heading3"/>
      </w:pPr>
      <w:r>
        <w:t xml:space="preserve">Phase 2: Task Execution (30 Minutes)</w:t>
      </w:r>
    </w:p>
    <w:p>
      <w:pPr>
        <w:pStyle w:val="FirstParagraph"/>
      </w:pPr>
      <w:r>
        <w:t xml:space="preserve">Participants will perform five specific tasks on the assigned interface variant. These tasks are designed to test critical UX flows:</w:t>
      </w:r>
    </w:p>
    <w:p>
      <w:pPr>
        <w:numPr>
          <w:ilvl w:val="0"/>
          <w:numId w:val="1005"/>
        </w:numPr>
        <w:pStyle w:val="Compact"/>
      </w:pPr>
      <w:r>
        <w:rPr>
          <w:bCs/>
          <w:b/>
        </w:rPr>
        <w:t xml:space="preserve">Registration:</w:t>
      </w:r>
      <w:r>
        <w:t xml:space="preserve"> </w:t>
      </w:r>
      <w:r>
        <w:t xml:space="preserve">Creating an account using local address formats.</w:t>
      </w:r>
    </w:p>
    <w:p>
      <w:pPr>
        <w:numPr>
          <w:ilvl w:val="0"/>
          <w:numId w:val="1005"/>
        </w:numPr>
        <w:pStyle w:val="Compact"/>
      </w:pPr>
      <w:r>
        <w:rPr>
          <w:bCs/>
          <w:b/>
        </w:rPr>
        <w:t xml:space="preserve">Search:</w:t>
      </w:r>
      <w:r>
        <w:t xml:space="preserve"> </w:t>
      </w:r>
      <w:r>
        <w:t xml:space="preserve">Finding a specific service using German keywords.</w:t>
      </w:r>
    </w:p>
    <w:p>
      <w:pPr>
        <w:numPr>
          <w:ilvl w:val="0"/>
          <w:numId w:val="1005"/>
        </w:numPr>
        <w:pStyle w:val="Compact"/>
      </w:pPr>
      <w:r>
        <w:rPr>
          <w:bCs/>
          <w:b/>
        </w:rPr>
        <w:t xml:space="preserve">Transaction:</w:t>
      </w:r>
      <w:r>
        <w:t xml:space="preserve"> </w:t>
      </w:r>
      <w:r>
        <w:t xml:space="preserve">Simulating a purchase using a local payment method (e.g., Sofort or PayPal).</w:t>
      </w:r>
    </w:p>
    <w:p>
      <w:pPr>
        <w:numPr>
          <w:ilvl w:val="0"/>
          <w:numId w:val="1005"/>
        </w:numPr>
        <w:pStyle w:val="Compact"/>
      </w:pPr>
      <w:r>
        <w:rPr>
          <w:bCs/>
          <w:b/>
        </w:rPr>
        <w:t xml:space="preserve">Support:</w:t>
      </w:r>
      <w:r>
        <w:t xml:space="preserve"> </w:t>
      </w:r>
      <w:r>
        <w:t xml:space="preserve">Locating customer service contact information.</w:t>
      </w:r>
    </w:p>
    <w:p>
      <w:pPr>
        <w:numPr>
          <w:ilvl w:val="0"/>
          <w:numId w:val="1005"/>
        </w:numPr>
        <w:pStyle w:val="Compact"/>
      </w:pPr>
      <w:r>
        <w:rPr>
          <w:bCs/>
          <w:b/>
        </w:rPr>
        <w:t xml:space="preserve">Settings:</w:t>
      </w:r>
      <w:r>
        <w:t xml:space="preserve"> </w:t>
      </w:r>
      <w:r>
        <w:t xml:space="preserve">Adjusting privacy preferences.</w:t>
      </w:r>
    </w:p>
    <w:bookmarkEnd w:id="28"/>
    <w:bookmarkStart w:id="29" w:name="phase-3-post-test-evaluation-20-minutes"/>
    <w:p>
      <w:pPr>
        <w:pStyle w:val="Heading3"/>
      </w:pPr>
      <w:r>
        <w:t xml:space="preserve">Phase 3: Post-Test Evaluation (20 Minutes)</w:t>
      </w:r>
    </w:p>
    <w:p>
      <w:pPr>
        <w:pStyle w:val="FirstParagraph"/>
      </w:pPr>
      <w:r>
        <w:t xml:space="preserve">Participants will complete the System Usability Scale (SUS) questionnaire and a semi-structured interview. The interview will focus on their emotional response to the design, specifically asking about their perception of security and professionalism.</w:t>
      </w:r>
    </w:p>
    <w:bookmarkEnd w:id="29"/>
    <w:bookmarkEnd w:id="30"/>
    <w:bookmarkStart w:id="31" w:name="data-collection-and-metrics"/>
    <w:p>
      <w:pPr>
        <w:pStyle w:val="Heading2"/>
      </w:pPr>
      <w:r>
        <w:t xml:space="preserve">5. Data Collection and Metrics</w:t>
      </w:r>
    </w:p>
    <w:p>
      <w:pPr>
        <w:pStyle w:val="FirstParagraph"/>
      </w:pPr>
      <w:r>
        <w:t xml:space="preserve">The UX/UI Designer will collect both behavioral and self-reported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Time on Task</w:t>
            </w:r>
          </w:p>
        </w:tc>
        <w:tc>
          <w:tcPr/>
          <w:p>
            <w:pPr>
              <w:pStyle w:val="Compact"/>
              <w:jc w:val="left"/>
            </w:pPr>
            <w:r>
              <w:t xml:space="preserve">Duration to complete each of the 5 tasks.</w:t>
            </w:r>
          </w:p>
        </w:tc>
        <w:tc>
          <w:tcPr/>
          <w:p>
            <w:pPr>
              <w:pStyle w:val="Compact"/>
              <w:jc w:val="left"/>
            </w:pPr>
            <w:r>
              <w:t xml:space="preserve">Screen Recording Software</w:t>
            </w:r>
          </w:p>
        </w:tc>
      </w:tr>
      <w:tr>
        <w:tc>
          <w:tcPr/>
          <w:p>
            <w:pPr>
              <w:pStyle w:val="Compact"/>
              <w:jc w:val="left"/>
            </w:pPr>
            <w:r>
              <w:t xml:space="preserve">Error Rate</w:t>
            </w:r>
          </w:p>
        </w:tc>
        <w:tc>
          <w:tcPr/>
          <w:p>
            <w:pPr>
              <w:pStyle w:val="Compact"/>
              <w:jc w:val="left"/>
            </w:pPr>
            <w:r>
              <w:t xml:space="preserve">Number of incorrect clicks or navigation errors.</w:t>
            </w:r>
          </w:p>
        </w:tc>
        <w:tc>
          <w:tcPr/>
          <w:p>
            <w:pPr>
              <w:pStyle w:val="Compact"/>
              <w:jc w:val="left"/>
            </w:pPr>
            <w:r>
              <w:t xml:space="preserve">Manual Observation Log</w:t>
            </w:r>
          </w:p>
        </w:tc>
      </w:tr>
      <w:tr>
        <w:tc>
          <w:tcPr/>
          <w:p>
            <w:pPr>
              <w:pStyle w:val="Compact"/>
              <w:jc w:val="left"/>
            </w:pPr>
            <w:r>
              <w:t xml:space="preserve">SUS Score</w:t>
            </w:r>
          </w:p>
        </w:tc>
        <w:tc>
          <w:tcPr/>
          <w:p>
            <w:pPr>
              <w:pStyle w:val="Compact"/>
              <w:jc w:val="left"/>
            </w:pPr>
            <w:r>
              <w:t xml:space="preserve">Standardized usability score (0-100).</w:t>
            </w:r>
          </w:p>
        </w:tc>
        <w:tc>
          <w:tcPr/>
          <w:p>
            <w:pPr>
              <w:pStyle w:val="Compact"/>
              <w:jc w:val="left"/>
            </w:pPr>
            <w:r>
              <w:t xml:space="preserve">Survey Tool</w:t>
            </w:r>
          </w:p>
        </w:tc>
      </w:tr>
      <w:tr>
        <w:tc>
          <w:tcPr/>
          <w:p>
            <w:pPr>
              <w:pStyle w:val="Compact"/>
              <w:jc w:val="left"/>
            </w:pPr>
            <w:r>
              <w:t xml:space="preserve">Trust Index</w:t>
            </w:r>
          </w:p>
        </w:tc>
        <w:tc>
          <w:tcPr/>
          <w:p>
            <w:pPr>
              <w:pStyle w:val="Compact"/>
              <w:jc w:val="left"/>
            </w:pPr>
            <w:r>
              <w:t xml:space="preserve">Custom Likert scale rating of interface trustworthiness.</w:t>
            </w:r>
          </w:p>
        </w:tc>
        <w:tc>
          <w:tcPr/>
          <w:p>
            <w:pPr>
              <w:pStyle w:val="Compact"/>
              <w:jc w:val="left"/>
            </w:pPr>
            <w:r>
              <w:t xml:space="preserve">Post-Test Survey</w:t>
            </w:r>
          </w:p>
        </w:tc>
      </w:tr>
    </w:tbl>
    <w:bookmarkEnd w:id="31"/>
    <w:bookmarkStart w:id="32" w:name="ethical-considerations-and-compliance"/>
    <w:p>
      <w:pPr>
        <w:pStyle w:val="Heading2"/>
      </w:pPr>
      <w:r>
        <w:t xml:space="preserve">6. Ethical Considerations and Compliance</w:t>
      </w:r>
    </w:p>
    <w:p>
      <w:pPr>
        <w:pStyle w:val="FirstParagraph"/>
      </w:pPr>
      <w:r>
        <w:t xml:space="preserve">Given the location in Germany, this protocol strictly adheres to the General Data Protection Regulation (GDPR). All video recordings will be anonymized. Participants have the right to withdraw at any time without penalty. The UX/UI Designer must ensure that the testing environment is accessible and inclusive, respecting the diverse population of Munich.</w:t>
      </w:r>
    </w:p>
    <w:bookmarkEnd w:id="32"/>
    <w:bookmarkStart w:id="33" w:name="expected-outcomes-and-deliverables"/>
    <w:p>
      <w:pPr>
        <w:pStyle w:val="Heading2"/>
      </w:pPr>
      <w:r>
        <w:t xml:space="preserve">7. Expected Outcomes and Deliverables</w:t>
      </w:r>
    </w:p>
    <w:p>
      <w:pPr>
        <w:pStyle w:val="FirstParagraph"/>
      </w:pPr>
      <w:r>
        <w:t xml:space="preserve">Upon completion of the experiment, the UX/UI Designer will produce a detailed report highlighting:</w:t>
      </w:r>
    </w:p>
    <w:p>
      <w:pPr>
        <w:numPr>
          <w:ilvl w:val="0"/>
          <w:numId w:val="1006"/>
        </w:numPr>
        <w:pStyle w:val="Compact"/>
      </w:pPr>
      <w:r>
        <w:t xml:space="preserve">Statistical comparison of Group A vs. Group B performance.</w:t>
      </w:r>
    </w:p>
    <w:p>
      <w:pPr>
        <w:numPr>
          <w:ilvl w:val="0"/>
          <w:numId w:val="1006"/>
        </w:numPr>
        <w:pStyle w:val="Compact"/>
      </w:pPr>
      <w:r>
        <w:t xml:space="preserve">Heatmaps of user interaction on the Munich-optimized interface.</w:t>
      </w:r>
    </w:p>
    <w:p>
      <w:pPr>
        <w:numPr>
          <w:ilvl w:val="0"/>
          <w:numId w:val="1006"/>
        </w:numPr>
        <w:pStyle w:val="Compact"/>
      </w:pPr>
      <w:r>
        <w:t xml:space="preserve">A set of localized design guidelines for future products targeting the German market.</w:t>
      </w:r>
    </w:p>
    <w:p>
      <w:pPr>
        <w:pStyle w:val="FirstParagraph"/>
      </w:pPr>
      <w:r>
        <w:t xml:space="preserve">This protocol ensures that the design process is not only creative but also scientifically grounded, culturally sensitive, and legally compliant within the Munich region.</w:t>
      </w:r>
    </w:p>
    <w:p>
      <w:pPr>
        <w:pStyle w:val="BodyText"/>
      </w:pPr>
      <w:r>
        <w:t xml:space="preserve">Document prepared for internal research purposes. Confidential.</w:t>
      </w:r>
    </w:p>
    <w:p>
      <w:pPr>
        <w:pStyle w:val="BodyText"/>
      </w:pPr>
      <w:r>
        <w:t xml:space="preserve">© 2023 UX Research Lab Munich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Munich</dc:title>
  <dc:creator/>
  <dc:language>en</dc:language>
  <cp:keywords/>
  <dcterms:created xsi:type="dcterms:W3CDTF">2026-10-10T03:05:38Z</dcterms:created>
  <dcterms:modified xsi:type="dcterms:W3CDTF">2026-10-10T03:05:38Z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