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Indonesia</w:t>
      </w:r>
      <w:r>
        <w:t xml:space="preserve"> </w:t>
      </w:r>
      <w:r>
        <w:t xml:space="preserve">Jakarta</w:t>
      </w:r>
    </w:p>
    <w:bookmarkStart w:id="33" w:name="X491f9b56e8bb9f3933a79cfd03beea5a3ed87a9"/>
    <w:p>
      <w:pPr>
        <w:pStyle w:val="Heading1"/>
      </w:pPr>
      <w:r>
        <w:t xml:space="preserve">Experiment Protocol: UX/UI Design Evaluation in Indonesia Jakarta</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effectiveness of a UX/UI Designer's work within the specific cultural and technological context of Indonesia Jakarta. The primary objective is to assess how well digital interfaces designed by the UX/UI Designer resonate with local users in Jakarta, considering factors such as language nuances, mobile-first behavior, cultural preferences, and connectivity constraints.</w:t>
      </w:r>
    </w:p>
    <w:p>
      <w:pPr>
        <w:pStyle w:val="BodyText"/>
      </w:pPr>
      <w:r>
        <w:t xml:space="preserve">The experiment aims to provide actionable insights that will guide iterative improvements in design, ensuring that the final product meets the needs and expectations of Jakarta's diverse user base.</w:t>
      </w:r>
    </w:p>
    <w:bookmarkEnd w:id="20"/>
    <w:bookmarkStart w:id="21" w:name="scope-and-context"/>
    <w:p>
      <w:pPr>
        <w:pStyle w:val="Heading2"/>
      </w:pPr>
      <w:r>
        <w:t xml:space="preserve">2. Scope and Context</w:t>
      </w:r>
    </w:p>
    <w:p>
      <w:pPr>
        <w:pStyle w:val="FirstParagraph"/>
      </w:pPr>
      <w:r>
        <w:t xml:space="preserve">The scope of this experiment is limited to users residing in Indonesia Jakarta, focusing on individuals aged 18–45 who are active digital consumers. The UX/UI Designer will be responsible for creating or refining interfaces for a mobile application or web platform tailored to this demographic.</w:t>
      </w:r>
    </w:p>
    <w:p>
      <w:pPr>
        <w:pStyle w:val="BodyText"/>
      </w:pPr>
      <w:r>
        <w:t xml:space="preserve">Key contextual factors include:</w:t>
      </w:r>
    </w:p>
    <w:p>
      <w:pPr>
        <w:numPr>
          <w:ilvl w:val="0"/>
          <w:numId w:val="1001"/>
        </w:numPr>
        <w:pStyle w:val="Compact"/>
      </w:pPr>
      <w:r>
        <w:rPr>
          <w:bCs/>
          <w:b/>
        </w:rPr>
        <w:t xml:space="preserve">Mobile-First Usage:</w:t>
      </w:r>
      <w:r>
        <w:t xml:space="preserve"> </w:t>
      </w:r>
      <w:r>
        <w:t xml:space="preserve">Jakarta users predominantly access digital services via smartphones.</w:t>
      </w:r>
    </w:p>
    <w:p>
      <w:pPr>
        <w:numPr>
          <w:ilvl w:val="0"/>
          <w:numId w:val="1001"/>
        </w:numPr>
        <w:pStyle w:val="Compact"/>
      </w:pPr>
      <w:r>
        <w:rPr>
          <w:bCs/>
          <w:b/>
        </w:rPr>
        <w:t xml:space="preserve">Language Preferences:</w:t>
      </w:r>
      <w:r>
        <w:t xml:space="preserve"> </w:t>
      </w:r>
      <w:r>
        <w:t xml:space="preserve">A mix of Bahasa Indonesia and English, with local slang and idioms influencing user expectations.</w:t>
      </w:r>
    </w:p>
    <w:p>
      <w:pPr>
        <w:numPr>
          <w:ilvl w:val="0"/>
          <w:numId w:val="1001"/>
        </w:numPr>
        <w:pStyle w:val="Compact"/>
      </w:pPr>
      <w:r>
        <w:rPr>
          <w:bCs/>
          <w:b/>
        </w:rPr>
        <w:t xml:space="preserve">Cultural Nuances:</w:t>
      </w:r>
      <w:r>
        <w:t xml:space="preserve"> </w:t>
      </w:r>
      <w:r>
        <w:t xml:space="preserve">Design elements must align with local aesthetics, values, and social norms.</w:t>
      </w:r>
    </w:p>
    <w:p>
      <w:pPr>
        <w:numPr>
          <w:ilvl w:val="0"/>
          <w:numId w:val="1001"/>
        </w:numPr>
        <w:pStyle w:val="Compact"/>
      </w:pPr>
      <w:r>
        <w:rPr>
          <w:bCs/>
          <w:b/>
        </w:rPr>
        <w:t xml:space="preserve">Connectivity Variability:</w:t>
      </w:r>
      <w:r>
        <w:t xml:space="preserve"> </w:t>
      </w:r>
      <w:r>
        <w:t xml:space="preserve">Users may experience fluctuating internet speeds, requiring optimized performance.</w:t>
      </w:r>
    </w:p>
    <w:bookmarkEnd w:id="21"/>
    <w:bookmarkStart w:id="22" w:name="participants"/>
    <w:p>
      <w:pPr>
        <w:pStyle w:val="Heading2"/>
      </w:pPr>
      <w:r>
        <w:t xml:space="preserve">3. Participants</w:t>
      </w:r>
    </w:p>
    <w:p>
      <w:pPr>
        <w:pStyle w:val="FirstParagraph"/>
      </w:pPr>
      <w:r>
        <w:t xml:space="preserve">The experiment will involve 30 participants recruited from Indonesia Jakarta, ensuring a diverse representation of age, gender, occupation, and digital literacy levels. Participants will be selected through online platforms, social media groups, and local community networks.</w:t>
      </w:r>
    </w:p>
    <w:p>
      <w:pPr>
        <w:pStyle w:val="BodyText"/>
      </w:pPr>
      <w:r>
        <w:t xml:space="preserve">Inclusion criteria:</w:t>
      </w:r>
    </w:p>
    <w:p>
      <w:pPr>
        <w:numPr>
          <w:ilvl w:val="0"/>
          <w:numId w:val="1002"/>
        </w:numPr>
        <w:pStyle w:val="Compact"/>
      </w:pPr>
      <w:r>
        <w:t xml:space="preserve">Resident of Indonesia Jakarta for at least 6 months.</w:t>
      </w:r>
    </w:p>
    <w:p>
      <w:pPr>
        <w:numPr>
          <w:ilvl w:val="0"/>
          <w:numId w:val="1002"/>
        </w:numPr>
        <w:pStyle w:val="Compact"/>
      </w:pPr>
      <w:r>
        <w:t xml:space="preserve">Regular user of mobile applications or web services.</w:t>
      </w:r>
    </w:p>
    <w:p>
      <w:pPr>
        <w:numPr>
          <w:ilvl w:val="0"/>
          <w:numId w:val="1002"/>
        </w:numPr>
        <w:pStyle w:val="Compact"/>
      </w:pPr>
      <w:r>
        <w:t xml:space="preserve">Proficient in Bahasa Indonesia; English proficiency is a plus but not required.</w:t>
      </w:r>
    </w:p>
    <w:p>
      <w:pPr>
        <w:pStyle w:val="FirstParagraph"/>
      </w:pPr>
      <w:r>
        <w:t xml:space="preserve">Exclusion criteria:</w:t>
      </w:r>
    </w:p>
    <w:p>
      <w:pPr>
        <w:numPr>
          <w:ilvl w:val="0"/>
          <w:numId w:val="1003"/>
        </w:numPr>
        <w:pStyle w:val="Compact"/>
      </w:pPr>
      <w:r>
        <w:t xml:space="preserve">Professionals in UX/UI design or related fields.</w:t>
      </w:r>
    </w:p>
    <w:p>
      <w:pPr>
        <w:numPr>
          <w:ilvl w:val="0"/>
          <w:numId w:val="1003"/>
        </w:numPr>
        <w:pStyle w:val="Compact"/>
      </w:pPr>
      <w:r>
        <w:t xml:space="preserve">Users with severe visual or motor impairments that may affect interaction.</w:t>
      </w:r>
    </w:p>
    <w:bookmarkEnd w:id="22"/>
    <w:bookmarkStart w:id="23" w:name="experimental-design"/>
    <w:p>
      <w:pPr>
        <w:pStyle w:val="Heading2"/>
      </w:pPr>
      <w:r>
        <w:t xml:space="preserve">4. Experimental Design</w:t>
      </w:r>
    </w:p>
    <w:p>
      <w:pPr>
        <w:pStyle w:val="FirstParagraph"/>
      </w:pPr>
      <w:r>
        <w:t xml:space="preserve">The experiment will follow a mixed-methods approach, combining quantitative metrics with qualitative feedback. The UX/UI Designer will prepare two versions of the interface:</w:t>
      </w:r>
    </w:p>
    <w:p>
      <w:pPr>
        <w:numPr>
          <w:ilvl w:val="0"/>
          <w:numId w:val="1004"/>
        </w:numPr>
        <w:pStyle w:val="Compact"/>
      </w:pPr>
      <w:r>
        <w:rPr>
          <w:bCs/>
          <w:b/>
        </w:rPr>
        <w:t xml:space="preserve">Version A:</w:t>
      </w:r>
      <w:r>
        <w:t xml:space="preserve"> </w:t>
      </w:r>
      <w:r>
        <w:t xml:space="preserve">The current design.</w:t>
      </w:r>
    </w:p>
    <w:p>
      <w:pPr>
        <w:numPr>
          <w:ilvl w:val="0"/>
          <w:numId w:val="1004"/>
        </w:numPr>
        <w:pStyle w:val="Compact"/>
      </w:pPr>
      <w:r>
        <w:rPr>
          <w:bCs/>
          <w:b/>
        </w:rPr>
        <w:t xml:space="preserve">Version B:</w:t>
      </w:r>
      <w:r>
        <w:t xml:space="preserve"> </w:t>
      </w:r>
      <w:r>
        <w:t xml:space="preserve">A revised design incorporating localized elements based on preliminary research.</w:t>
      </w:r>
    </w:p>
    <w:p>
      <w:pPr>
        <w:pStyle w:val="FirstParagraph"/>
      </w:pPr>
      <w:r>
        <w:t xml:space="preserve">Participants will be randomly assigned to test either Version A or Version B. Each participant will complete a series of tasks while their interactions are recorded and analyzed.</w:t>
      </w:r>
    </w:p>
    <w:bookmarkEnd w:id="23"/>
    <w:bookmarkStart w:id="28" w:name="procedure"/>
    <w:p>
      <w:pPr>
        <w:pStyle w:val="Heading2"/>
      </w:pPr>
      <w:r>
        <w:t xml:space="preserve">5. Procedure</w:t>
      </w:r>
    </w:p>
    <w:bookmarkStart w:id="24" w:name="preparation"/>
    <w:p>
      <w:pPr>
        <w:pStyle w:val="Heading3"/>
      </w:pPr>
      <w:r>
        <w:t xml:space="preserve">5.1 Preparation</w:t>
      </w:r>
    </w:p>
    <w:p>
      <w:pPr>
        <w:numPr>
          <w:ilvl w:val="0"/>
          <w:numId w:val="1005"/>
        </w:numPr>
        <w:pStyle w:val="Compact"/>
      </w:pPr>
      <w:r>
        <w:t xml:space="preserve">The UX/UI Designer will finalize both interface versions and ensure they are fully functional.</w:t>
      </w:r>
    </w:p>
    <w:p>
      <w:pPr>
        <w:numPr>
          <w:ilvl w:val="0"/>
          <w:numId w:val="1005"/>
        </w:numPr>
        <w:pStyle w:val="Compact"/>
      </w:pPr>
      <w:r>
        <w:t xml:space="preserve">Test scenarios and tasks will be developed, reflecting common user goals in Indonesia Jakarta (e.g., booking services, making payments, navigating menus).</w:t>
      </w:r>
    </w:p>
    <w:p>
      <w:pPr>
        <w:numPr>
          <w:ilvl w:val="0"/>
          <w:numId w:val="1005"/>
        </w:numPr>
        <w:pStyle w:val="Compact"/>
      </w:pPr>
      <w:r>
        <w:t xml:space="preserve">Informed consent forms will be prepared in Bahasa Indonesia.</w:t>
      </w:r>
    </w:p>
    <w:bookmarkEnd w:id="24"/>
    <w:bookmarkStart w:id="25" w:name="recruitment-and-onboarding"/>
    <w:p>
      <w:pPr>
        <w:pStyle w:val="Heading3"/>
      </w:pPr>
      <w:r>
        <w:t xml:space="preserve">5.2 Recruitment and Onboarding</w:t>
      </w:r>
    </w:p>
    <w:p>
      <w:pPr>
        <w:numPr>
          <w:ilvl w:val="0"/>
          <w:numId w:val="1006"/>
        </w:numPr>
        <w:pStyle w:val="Compact"/>
      </w:pPr>
      <w:r>
        <w:t xml:space="preserve">Participants will be contacted via email or messaging apps.</w:t>
      </w:r>
    </w:p>
    <w:p>
      <w:pPr>
        <w:numPr>
          <w:ilvl w:val="0"/>
          <w:numId w:val="1006"/>
        </w:numPr>
        <w:pStyle w:val="Compact"/>
      </w:pPr>
      <w:r>
        <w:t xml:space="preserve">They will be briefed on the experiment's purpose, duration, and their rights.</w:t>
      </w:r>
    </w:p>
    <w:p>
      <w:pPr>
        <w:numPr>
          <w:ilvl w:val="0"/>
          <w:numId w:val="1006"/>
        </w:numPr>
        <w:pStyle w:val="Compact"/>
      </w:pPr>
      <w:r>
        <w:t xml:space="preserve">Consent forms will be signed digitally.</w:t>
      </w:r>
    </w:p>
    <w:bookmarkEnd w:id="25"/>
    <w:bookmarkStart w:id="26" w:name="testing-sessions"/>
    <w:p>
      <w:pPr>
        <w:pStyle w:val="Heading3"/>
      </w:pPr>
      <w:r>
        <w:t xml:space="preserve">5.3 Testing Sessions</w:t>
      </w:r>
    </w:p>
    <w:p>
      <w:pPr>
        <w:numPr>
          <w:ilvl w:val="0"/>
          <w:numId w:val="1007"/>
        </w:numPr>
        <w:pStyle w:val="Compact"/>
      </w:pPr>
      <w:r>
        <w:t xml:space="preserve">Each session will last approximately 45–60 minutes.</w:t>
      </w:r>
    </w:p>
    <w:p>
      <w:pPr>
        <w:numPr>
          <w:ilvl w:val="0"/>
          <w:numId w:val="1007"/>
        </w:numPr>
        <w:pStyle w:val="Compact"/>
      </w:pPr>
      <w:r>
        <w:t xml:space="preserve">Participants will be asked to complete predefined tasks while thinking aloud.</w:t>
      </w:r>
    </w:p>
    <w:p>
      <w:pPr>
        <w:numPr>
          <w:ilvl w:val="0"/>
          <w:numId w:val="1007"/>
        </w:numPr>
        <w:pStyle w:val="Compact"/>
      </w:pPr>
      <w:r>
        <w:t xml:space="preserve">Screen recordings, eye-tracking data (if available), and interaction logs will be captured.</w:t>
      </w:r>
    </w:p>
    <w:p>
      <w:pPr>
        <w:numPr>
          <w:ilvl w:val="0"/>
          <w:numId w:val="1007"/>
        </w:numPr>
        <w:pStyle w:val="Compact"/>
      </w:pPr>
      <w:r>
        <w:t xml:space="preserve">Post-task interviews will be conducted to gather qualitative feedback.</w:t>
      </w:r>
    </w:p>
    <w:bookmarkEnd w:id="26"/>
    <w:bookmarkStart w:id="27" w:name="data-collection"/>
    <w:p>
      <w:pPr>
        <w:pStyle w:val="Heading3"/>
      </w:pPr>
      <w:r>
        <w:t xml:space="preserve">5.4 Data Collection</w:t>
      </w:r>
    </w:p>
    <w:p>
      <w:pPr>
        <w:pStyle w:val="FirstParagraph"/>
      </w:pPr>
      <w:r>
        <w:t xml:space="preserve">Data will be collected using the following methods:</w:t>
      </w:r>
    </w:p>
    <w:p>
      <w:pPr>
        <w:numPr>
          <w:ilvl w:val="0"/>
          <w:numId w:val="1008"/>
        </w:numPr>
        <w:pStyle w:val="Compact"/>
      </w:pPr>
      <w:r>
        <w:t xml:space="preserve">Task completion rates and time-on-task.</w:t>
      </w:r>
    </w:p>
    <w:p>
      <w:pPr>
        <w:numPr>
          <w:ilvl w:val="0"/>
          <w:numId w:val="1008"/>
        </w:numPr>
        <w:pStyle w:val="Compact"/>
      </w:pPr>
      <w:r>
        <w:t xml:space="preserve">Error rates and navigation paths.</w:t>
      </w:r>
    </w:p>
    <w:p>
      <w:pPr>
        <w:numPr>
          <w:ilvl w:val="0"/>
          <w:numId w:val="1008"/>
        </w:numPr>
        <w:pStyle w:val="Compact"/>
      </w:pPr>
      <w:r>
        <w:t xml:space="preserve">SUS (System Usability Scale) scores.</w:t>
      </w:r>
    </w:p>
    <w:p>
      <w:pPr>
        <w:numPr>
          <w:ilvl w:val="0"/>
          <w:numId w:val="1008"/>
        </w:numPr>
        <w:pStyle w:val="Compact"/>
      </w:pPr>
      <w:r>
        <w:t xml:space="preserve">Open-ended responses from interviews.</w:t>
      </w:r>
    </w:p>
    <w:bookmarkEnd w:id="27"/>
    <w:bookmarkEnd w:id="28"/>
    <w:bookmarkStart w:id="29" w:name="ethical-considerations"/>
    <w:p>
      <w:pPr>
        <w:pStyle w:val="Heading2"/>
      </w:pPr>
      <w:r>
        <w:t xml:space="preserve">6. Ethical Considerations</w:t>
      </w:r>
    </w:p>
    <w:p>
      <w:pPr>
        <w:pStyle w:val="FirstParagraph"/>
      </w:pPr>
      <w:r>
        <w:t xml:space="preserve">The experiment will adhere to ethical guidelines for human subject research:</w:t>
      </w:r>
    </w:p>
    <w:p>
      <w:pPr>
        <w:numPr>
          <w:ilvl w:val="0"/>
          <w:numId w:val="1009"/>
        </w:numPr>
        <w:pStyle w:val="Compact"/>
      </w:pPr>
      <w:r>
        <w:t xml:space="preserve">Informed consent will be obtained from all participants.</w:t>
      </w:r>
    </w:p>
    <w:p>
      <w:pPr>
        <w:numPr>
          <w:ilvl w:val="0"/>
          <w:numId w:val="1009"/>
        </w:numPr>
        <w:pStyle w:val="Compact"/>
      </w:pPr>
      <w:r>
        <w:t xml:space="preserve">Participants' data will be anonymized and stored securely.</w:t>
      </w:r>
    </w:p>
    <w:p>
      <w:pPr>
        <w:numPr>
          <w:ilvl w:val="0"/>
          <w:numId w:val="1009"/>
        </w:numPr>
        <w:pStyle w:val="Compact"/>
      </w:pPr>
      <w:r>
        <w:t xml:space="preserve">Participants may withdraw at any time without penalty.</w:t>
      </w:r>
    </w:p>
    <w:p>
      <w:pPr>
        <w:numPr>
          <w:ilvl w:val="0"/>
          <w:numId w:val="1009"/>
        </w:numPr>
        <w:pStyle w:val="Compact"/>
      </w:pPr>
      <w:r>
        <w:t xml:space="preserve">Compensation will be provided in the form of e-vouchers or mobile credit, common in Indonesia Jakarta.</w:t>
      </w:r>
    </w:p>
    <w:bookmarkEnd w:id="29"/>
    <w:bookmarkStart w:id="30" w:name="analysis-and-reporting"/>
    <w:p>
      <w:pPr>
        <w:pStyle w:val="Heading2"/>
      </w:pPr>
      <w:r>
        <w:t xml:space="preserve">7. Analysis and Reporting</w:t>
      </w:r>
    </w:p>
    <w:p>
      <w:pPr>
        <w:pStyle w:val="FirstParagraph"/>
      </w:pPr>
      <w:r>
        <w:t xml:space="preserve">Quantitative data will be analyzed using statistical tools to compare performance metrics between Version A and Version B. Qualitative data will be coded thematically to identify recurring issues and suggestions.</w:t>
      </w:r>
    </w:p>
    <w:p>
      <w:pPr>
        <w:pStyle w:val="BodyText"/>
      </w:pPr>
      <w:r>
        <w:t xml:space="preserve">The UX/UI Designer will compile findings into a comprehensive report, highlighting:</w:t>
      </w:r>
    </w:p>
    <w:p>
      <w:pPr>
        <w:numPr>
          <w:ilvl w:val="0"/>
          <w:numId w:val="1010"/>
        </w:numPr>
        <w:pStyle w:val="Compact"/>
      </w:pPr>
      <w:r>
        <w:t xml:space="preserve">Key usability issues specific to Indonesia Jakarta users.</w:t>
      </w:r>
    </w:p>
    <w:p>
      <w:pPr>
        <w:numPr>
          <w:ilvl w:val="0"/>
          <w:numId w:val="1010"/>
        </w:numPr>
        <w:pStyle w:val="Compact"/>
      </w:pPr>
      <w:r>
        <w:t xml:space="preserve">Recommendations for design improvements.</w:t>
      </w:r>
    </w:p>
    <w:p>
      <w:pPr>
        <w:numPr>
          <w:ilvl w:val="0"/>
          <w:numId w:val="1010"/>
        </w:numPr>
        <w:pStyle w:val="Compact"/>
      </w:pPr>
      <w:r>
        <w:t xml:space="preserve">Cultural adaptations that enhance user experience.</w:t>
      </w:r>
    </w:p>
    <w:bookmarkEnd w:id="30"/>
    <w:bookmarkStart w:id="31"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Preparation and Design</w:t>
            </w:r>
          </w:p>
        </w:tc>
        <w:tc>
          <w:tcPr/>
          <w:p>
            <w:pPr>
              <w:pStyle w:val="Compact"/>
              <w:jc w:val="left"/>
            </w:pPr>
            <w:r>
              <w:t xml:space="preserve">2 weeks</w:t>
            </w:r>
          </w:p>
        </w:tc>
      </w:tr>
      <w:tr>
        <w:tc>
          <w:tcPr/>
          <w:p>
            <w:pPr>
              <w:pStyle w:val="Compact"/>
              <w:jc w:val="left"/>
            </w:pPr>
            <w:r>
              <w:t xml:space="preserve">Recruitment</w:t>
            </w:r>
          </w:p>
        </w:tc>
        <w:tc>
          <w:tcPr/>
          <w:p>
            <w:pPr>
              <w:pStyle w:val="Compact"/>
              <w:jc w:val="left"/>
            </w:pPr>
            <w:r>
              <w:t xml:space="preserve">1 week</w:t>
            </w:r>
          </w:p>
        </w:tc>
      </w:tr>
      <w:tr>
        <w:tc>
          <w:tcPr/>
          <w:p>
            <w:pPr>
              <w:pStyle w:val="Compact"/>
              <w:jc w:val="left"/>
            </w:pPr>
            <w:r>
              <w:t xml:space="preserve">Testing Sessions</w:t>
            </w:r>
          </w:p>
        </w:tc>
        <w:tc>
          <w:tcPr/>
          <w:p>
            <w:pPr>
              <w:pStyle w:val="Compact"/>
              <w:jc w:val="left"/>
            </w:pPr>
            <w:r>
              <w:t xml:space="preserve">3 weeks</w:t>
            </w:r>
          </w:p>
        </w:tc>
      </w:tr>
      <w:tr>
        <w:tc>
          <w:tcPr/>
          <w:p>
            <w:pPr>
              <w:pStyle w:val="Compact"/>
              <w:jc w:val="left"/>
            </w:pPr>
            <w:r>
              <w:t xml:space="preserve">Data Analysis</w:t>
            </w:r>
          </w:p>
        </w:tc>
        <w:tc>
          <w:tcPr/>
          <w:p>
            <w:pPr>
              <w:pStyle w:val="Compact"/>
              <w:jc w:val="left"/>
            </w:pPr>
            <w:r>
              <w:t xml:space="preserve">2 weeks</w:t>
            </w:r>
          </w:p>
        </w:tc>
      </w:tr>
      <w:tr>
        <w:tc>
          <w:tcPr/>
          <w:p>
            <w:pPr>
              <w:pStyle w:val="Compact"/>
              <w:jc w:val="left"/>
            </w:pPr>
            <w:r>
              <w:t xml:space="preserve">Reporting</w:t>
            </w:r>
          </w:p>
        </w:tc>
        <w:tc>
          <w:tcPr/>
          <w:p>
            <w:pPr>
              <w:pStyle w:val="Compact"/>
              <w:jc w:val="left"/>
            </w:pPr>
            <w:r>
              <w:t xml:space="preserve">1 week</w:t>
            </w:r>
          </w:p>
        </w:tc>
      </w:tr>
    </w:tbl>
    <w:bookmarkEnd w:id="31"/>
    <w:bookmarkStart w:id="32" w:name="conclusion"/>
    <w:p>
      <w:pPr>
        <w:pStyle w:val="Heading2"/>
      </w:pPr>
      <w:r>
        <w:t xml:space="preserve">9. Conclusion</w:t>
      </w:r>
    </w:p>
    <w:p>
      <w:pPr>
        <w:pStyle w:val="FirstParagraph"/>
      </w:pPr>
      <w:r>
        <w:t xml:space="preserve">This Experiment Protocol provides a structured approach for evaluating UX/UI design within the unique context of Indonesia Jakarta. By focusing on local user behaviors, cultural preferences, and technological realities, the UX/UI Designer can create interfaces that are not only functional but also deeply resonant with the target audience. The insights gained from this experiment will be instrumental in refining design strategies and enhancing overall user satisfaction.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Indonesia Jakarta</dc:title>
  <dc:creator/>
  <dc:language>en</dc:language>
  <cp:keywords/>
  <dcterms:created xsi:type="dcterms:W3CDTF">2026-10-10T08:34:39Z</dcterms:created>
  <dcterms:modified xsi:type="dcterms:W3CDTF">2026-10-10T08:34:39Z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