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UX/UI</w:t>
      </w:r>
      <w:r>
        <w:t xml:space="preserve"> </w:t>
      </w:r>
      <w:r>
        <w:t xml:space="preserve">Designer</w:t>
      </w:r>
      <w:r>
        <w:t xml:space="preserve"> </w:t>
      </w:r>
      <w:r>
        <w:t xml:space="preserve">in</w:t>
      </w:r>
      <w:r>
        <w:t xml:space="preserve"> </w:t>
      </w:r>
      <w:r>
        <w:t xml:space="preserve">Amsterdam</w:t>
      </w:r>
    </w:p>
    <w:bookmarkStart w:id="20" w:name="X9ebd57cfe46d717eb64f52aafcdd6bdcd788f51"/>
    <w:p>
      <w:pPr>
        <w:pStyle w:val="Heading1"/>
      </w:pPr>
      <w:r>
        <w:t xml:space="preserve">Experiment Protocol: UX/UI Designer in Amsterdam, Netherlands</w:t>
      </w:r>
    </w:p>
    <w:p>
      <w:pPr>
        <w:pStyle w:val="FirstParagraph"/>
      </w:pPr>
      <w:r>
        <w:rPr>
          <w:bCs/>
          <w:b/>
        </w:rPr>
        <w:t xml:space="preserve">Document Version:</w:t>
      </w:r>
      <w:r>
        <w:t xml:space="preserve"> </w:t>
      </w:r>
      <w:r>
        <w:t xml:space="preserve">1.0</w:t>
      </w:r>
      <w:r>
        <w:br/>
      </w:r>
      <w:r>
        <w:rPr>
          <w:bCs/>
          <w:b/>
        </w:rPr>
        <w:t xml:space="preserve">Date:</w:t>
      </w:r>
      <w:r>
        <w:t xml:space="preserve"> </w:t>
      </w:r>
      <w:r>
        <w:t xml:space="preserve">October 2025</w:t>
      </w:r>
      <w:r>
        <w:br/>
      </w:r>
      <w:r>
        <w:rPr>
          <w:bCs/>
          <w:b/>
        </w:rPr>
        <w:t xml:space="preserve">Location:</w:t>
      </w:r>
      <w:r>
        <w:t xml:space="preserve"> </w:t>
      </w:r>
      <w:r>
        <w:t xml:space="preserve">Amsterdam, Netherlands</w:t>
      </w:r>
      <w:r>
        <w:br/>
      </w:r>
      <w:r>
        <w:rPr>
          <w:bCs/>
          <w:b/>
        </w:rPr>
        <w:t xml:space="preserve">Prepared by:</w:t>
      </w:r>
      <w:r>
        <w:t xml:space="preserve"> </w:t>
      </w:r>
      <w:r>
        <w:t xml:space="preserve">Research &amp; Design Team</w:t>
      </w:r>
      <w:r>
        <w:br/>
      </w:r>
      <w:r>
        <w:rPr>
          <w:bCs/>
          <w:b/>
        </w:rPr>
        <w:t xml:space="preserve">Target Role:</w:t>
      </w:r>
      <w:r>
        <w:t xml:space="preserve"> </w:t>
      </w:r>
      <w:r>
        <w:t xml:space="preserve">UX/UI Designer</w:t>
      </w:r>
    </w:p>
    <w:bookmarkEnd w:id="20"/>
    <w:bookmarkStart w:id="21" w:name="introduction-and-background"/>
    <w:p>
      <w:pPr>
        <w:pStyle w:val="Heading2"/>
      </w:pPr>
      <w:r>
        <w:t xml:space="preserve">1. Introduction and Background</w:t>
      </w:r>
    </w:p>
    <w:p>
      <w:pPr>
        <w:pStyle w:val="FirstParagraph"/>
      </w:pPr>
      <w:r>
        <w:t xml:space="preserve">This Experiment Protocol outlines the structured approach for evaluating the performance, decision-making, and creative problem-solving capabilities of UX/UI Designers operating within the Amsterdam, Netherlands market. Amsterdam is a leading European hub for technology, design, and innovation, with a strong emphasis on user-centered design, accessibility, and cross-cultural usability. This protocol is designed to reflect local expectations, regulatory requirements (including GDPR), and the collaborative, multidisciplinary nature of Amsterdam’s design ecosystem.</w:t>
      </w:r>
    </w:p>
    <w:p>
      <w:pPr>
        <w:pStyle w:val="BodyText"/>
      </w:pPr>
      <w:r>
        <w:t xml:space="preserve">The purpose of this experiment is to assess how a UX/UI Designer translates user needs into effective digital experiences while adhering to best practices in usability, accessibility, and ethical design. The protocol is applicable for recruitment, internal capability assessment, academic research, or product validation involving UX/UI Designers based in or targeting the Amsterdam region.</w:t>
      </w:r>
    </w:p>
    <w:bookmarkEnd w:id="21"/>
    <w:bookmarkStart w:id="22" w:name="objectives"/>
    <w:p>
      <w:pPr>
        <w:pStyle w:val="Heading2"/>
      </w:pPr>
      <w:r>
        <w:t xml:space="preserve">2. Objectives</w:t>
      </w:r>
    </w:p>
    <w:p>
      <w:pPr>
        <w:pStyle w:val="FirstParagraph"/>
      </w:pPr>
      <w:r>
        <w:t xml:space="preserve">The primary objectives of this Experiment Protocol are:</w:t>
      </w:r>
    </w:p>
    <w:p>
      <w:pPr>
        <w:numPr>
          <w:ilvl w:val="0"/>
          <w:numId w:val="1001"/>
        </w:numPr>
        <w:pStyle w:val="Compact"/>
      </w:pPr>
      <w:r>
        <w:t xml:space="preserve">To evaluate the UX/UI Designer’s ability to conduct user research and synthesize insights in a multicultural context typical of Amsterdam.</w:t>
      </w:r>
    </w:p>
    <w:p>
      <w:pPr>
        <w:numPr>
          <w:ilvl w:val="0"/>
          <w:numId w:val="1001"/>
        </w:numPr>
        <w:pStyle w:val="Compact"/>
      </w:pPr>
      <w:r>
        <w:t xml:space="preserve">To assess the designer’s proficiency in creating user flows, wireframes, prototypes, and high-fidelity UI designs.</w:t>
      </w:r>
    </w:p>
    <w:p>
      <w:pPr>
        <w:numPr>
          <w:ilvl w:val="0"/>
          <w:numId w:val="1001"/>
        </w:numPr>
        <w:pStyle w:val="Compact"/>
      </w:pPr>
      <w:r>
        <w:t xml:space="preserve">To measure adherence to accessibility standards (WCAG 2.1/2.2) and inclusive design principles.</w:t>
      </w:r>
    </w:p>
    <w:p>
      <w:pPr>
        <w:numPr>
          <w:ilvl w:val="0"/>
          <w:numId w:val="1001"/>
        </w:numPr>
        <w:pStyle w:val="Compact"/>
      </w:pPr>
      <w:r>
        <w:t xml:space="preserve">To examine collaboration skills with product managers, developers, and stakeholders in an agile environment.</w:t>
      </w:r>
    </w:p>
    <w:p>
      <w:pPr>
        <w:numPr>
          <w:ilvl w:val="0"/>
          <w:numId w:val="1001"/>
        </w:numPr>
        <w:pStyle w:val="Compact"/>
      </w:pPr>
      <w:r>
        <w:t xml:space="preserve">To verify understanding of data privacy and ethical considerations under EU and Dutch regulations.</w:t>
      </w:r>
    </w:p>
    <w:bookmarkEnd w:id="22"/>
    <w:bookmarkStart w:id="23" w:name="scope-and-context"/>
    <w:p>
      <w:pPr>
        <w:pStyle w:val="Heading2"/>
      </w:pPr>
      <w:r>
        <w:t xml:space="preserve">3. Scope and Context</w:t>
      </w:r>
    </w:p>
    <w:p>
      <w:pPr>
        <w:pStyle w:val="FirstParagraph"/>
      </w:pPr>
      <w:r>
        <w:t xml:space="preserve">This protocol applies to UX/UI Designers working on digital products (web and mobile) intended for users in the Netherlands and broader European markets. The experiment will simulate real-world conditions common in Amsterdam-based tech companies, startups, and design agencies, including:</w:t>
      </w:r>
    </w:p>
    <w:p>
      <w:pPr>
        <w:numPr>
          <w:ilvl w:val="0"/>
          <w:numId w:val="1002"/>
        </w:numPr>
        <w:pStyle w:val="Compact"/>
      </w:pPr>
      <w:r>
        <w:t xml:space="preserve">Fast-paced, iterative design processes.</w:t>
      </w:r>
    </w:p>
    <w:p>
      <w:pPr>
        <w:numPr>
          <w:ilvl w:val="0"/>
          <w:numId w:val="1002"/>
        </w:numPr>
        <w:pStyle w:val="Compact"/>
      </w:pPr>
      <w:r>
        <w:t xml:space="preserve">High expectations for visual quality and interaction design.</w:t>
      </w:r>
    </w:p>
    <w:p>
      <w:pPr>
        <w:numPr>
          <w:ilvl w:val="0"/>
          <w:numId w:val="1002"/>
        </w:numPr>
        <w:pStyle w:val="Compact"/>
      </w:pPr>
      <w:r>
        <w:t xml:space="preserve">Strong focus on sustainability, inclusivity, and transparency.</w:t>
      </w:r>
    </w:p>
    <w:p>
      <w:pPr>
        <w:numPr>
          <w:ilvl w:val="0"/>
          <w:numId w:val="1002"/>
        </w:numPr>
        <w:pStyle w:val="Compact"/>
      </w:pPr>
      <w:r>
        <w:t xml:space="preserve">Collaboration across international and multilingual teams.</w:t>
      </w:r>
    </w:p>
    <w:p>
      <w:pPr>
        <w:pStyle w:val="FirstParagraph"/>
      </w:pPr>
      <w:r>
        <w:t xml:space="preserve">The protocol is not limited to a single industry but can be adapted for fintech, health tech, mobility, e-commerce, public services, and creative industries prevalent in Amsterdam.</w:t>
      </w:r>
    </w:p>
    <w:bookmarkEnd w:id="23"/>
    <w:bookmarkStart w:id="26" w:name="participants"/>
    <w:p>
      <w:pPr>
        <w:pStyle w:val="Heading2"/>
      </w:pPr>
      <w:r>
        <w:t xml:space="preserve">4. Participants</w:t>
      </w:r>
    </w:p>
    <w:bookmarkStart w:id="24" w:name="uxui-designer-subject"/>
    <w:p>
      <w:pPr>
        <w:pStyle w:val="Heading3"/>
      </w:pPr>
      <w:r>
        <w:t xml:space="preserve">4.1 UX/UI Designer (Subject)</w:t>
      </w:r>
    </w:p>
    <w:p>
      <w:pPr>
        <w:pStyle w:val="FirstParagraph"/>
      </w:pPr>
      <w:r>
        <w:t xml:space="preserve">The participant is a UX/UI Designer with at least 2 years of professional experience, based in or familiar with the Amsterdam market. The designer should have:</w:t>
      </w:r>
    </w:p>
    <w:p>
      <w:pPr>
        <w:numPr>
          <w:ilvl w:val="0"/>
          <w:numId w:val="1003"/>
        </w:numPr>
        <w:pStyle w:val="Compact"/>
      </w:pPr>
      <w:r>
        <w:t xml:space="preserve">Proficiency in design tools (e.g., Figma, Sketch, Adobe XD).</w:t>
      </w:r>
    </w:p>
    <w:p>
      <w:pPr>
        <w:numPr>
          <w:ilvl w:val="0"/>
          <w:numId w:val="1003"/>
        </w:numPr>
        <w:pStyle w:val="Compact"/>
      </w:pPr>
      <w:r>
        <w:t xml:space="preserve">Experience with user research methods and usability testing.</w:t>
      </w:r>
    </w:p>
    <w:p>
      <w:pPr>
        <w:numPr>
          <w:ilvl w:val="0"/>
          <w:numId w:val="1003"/>
        </w:numPr>
        <w:pStyle w:val="Compact"/>
      </w:pPr>
      <w:r>
        <w:t xml:space="preserve">Knowledge of responsive design, design systems, and front-end basics.</w:t>
      </w:r>
    </w:p>
    <w:p>
      <w:pPr>
        <w:numPr>
          <w:ilvl w:val="0"/>
          <w:numId w:val="1003"/>
        </w:numPr>
        <w:pStyle w:val="Compact"/>
      </w:pPr>
      <w:r>
        <w:t xml:space="preserve">Understanding of GDPR and Dutch accessibility expectations.</w:t>
      </w:r>
    </w:p>
    <w:bookmarkEnd w:id="24"/>
    <w:bookmarkStart w:id="25" w:name="evaluators"/>
    <w:p>
      <w:pPr>
        <w:pStyle w:val="Heading3"/>
      </w:pPr>
      <w:r>
        <w:t xml:space="preserve">4.2 Evaluators</w:t>
      </w:r>
    </w:p>
    <w:p>
      <w:pPr>
        <w:pStyle w:val="FirstParagraph"/>
      </w:pPr>
      <w:r>
        <w:t xml:space="preserve">Evaluators include senior designers, product managers, and/or UX researchers familiar with Amsterdam’s design standards. At least two evaluators must independently assess the designer’s work to ensure objectivity.</w:t>
      </w:r>
    </w:p>
    <w:bookmarkEnd w:id="25"/>
    <w:bookmarkEnd w:id="26"/>
    <w:bookmarkStart w:id="30" w:name="experimental-design"/>
    <w:p>
      <w:pPr>
        <w:pStyle w:val="Heading2"/>
      </w:pPr>
      <w:r>
        <w:t xml:space="preserve">5. Experimental Design</w:t>
      </w:r>
    </w:p>
    <w:p>
      <w:pPr>
        <w:pStyle w:val="FirstParagraph"/>
      </w:pPr>
      <w:r>
        <w:t xml:space="preserve">The experiment consists of three phases:</w:t>
      </w:r>
    </w:p>
    <w:p>
      <w:pPr>
        <w:numPr>
          <w:ilvl w:val="0"/>
          <w:numId w:val="1004"/>
        </w:numPr>
        <w:pStyle w:val="Compact"/>
      </w:pPr>
      <w:r>
        <w:rPr>
          <w:bCs/>
          <w:b/>
        </w:rPr>
        <w:t xml:space="preserve">Phase 1: Briefing and Research Simulation</w:t>
      </w:r>
    </w:p>
    <w:p>
      <w:pPr>
        <w:numPr>
          <w:ilvl w:val="0"/>
          <w:numId w:val="1004"/>
        </w:numPr>
        <w:pStyle w:val="Compact"/>
      </w:pPr>
      <w:r>
        <w:rPr>
          <w:bCs/>
          <w:b/>
        </w:rPr>
        <w:t xml:space="preserve">Phase 2: Design Execution</w:t>
      </w:r>
    </w:p>
    <w:p>
      <w:pPr>
        <w:numPr>
          <w:ilvl w:val="0"/>
          <w:numId w:val="1004"/>
        </w:numPr>
        <w:pStyle w:val="Compact"/>
      </w:pPr>
      <w:r>
        <w:rPr>
          <w:bCs/>
          <w:b/>
        </w:rPr>
        <w:t xml:space="preserve">Phase 3: Presentation and Defense</w:t>
      </w:r>
    </w:p>
    <w:bookmarkStart w:id="27" w:name="phase-1-briefing-and-research-simulation"/>
    <w:p>
      <w:pPr>
        <w:pStyle w:val="Heading3"/>
      </w:pPr>
      <w:r>
        <w:t xml:space="preserve">5.1 Phase 1: Briefing and Research Simulation</w:t>
      </w:r>
    </w:p>
    <w:p>
      <w:pPr>
        <w:pStyle w:val="FirstParagraph"/>
      </w:pPr>
      <w:r>
        <w:t xml:space="preserve">The UX/UI Designer receives a realistic product brief relevant to Amsterdam users (e.g., a mobility app, a public service portal, or a sustainable shopping platform). The designer must:</w:t>
      </w:r>
    </w:p>
    <w:p>
      <w:pPr>
        <w:numPr>
          <w:ilvl w:val="0"/>
          <w:numId w:val="1005"/>
        </w:numPr>
        <w:pStyle w:val="Compact"/>
      </w:pPr>
      <w:r>
        <w:t xml:space="preserve">Define user personas reflecting Amsterdam’s demographic diversity.</w:t>
      </w:r>
    </w:p>
    <w:p>
      <w:pPr>
        <w:numPr>
          <w:ilvl w:val="0"/>
          <w:numId w:val="1005"/>
        </w:numPr>
        <w:pStyle w:val="Compact"/>
      </w:pPr>
      <w:r>
        <w:t xml:space="preserve">Outline a research plan (interviews, surveys, contextual inquiry) compliant with GDPR.</w:t>
      </w:r>
    </w:p>
    <w:p>
      <w:pPr>
        <w:numPr>
          <w:ilvl w:val="0"/>
          <w:numId w:val="1005"/>
        </w:numPr>
        <w:pStyle w:val="Compact"/>
      </w:pPr>
      <w:r>
        <w:t xml:space="preserve">Identify key user journeys and pain points.</w:t>
      </w:r>
    </w:p>
    <w:bookmarkEnd w:id="27"/>
    <w:bookmarkStart w:id="28" w:name="phase-2-design-execution"/>
    <w:p>
      <w:pPr>
        <w:pStyle w:val="Heading3"/>
      </w:pPr>
      <w:r>
        <w:t xml:space="preserve">5.2 Phase 2: Design Execution</w:t>
      </w:r>
    </w:p>
    <w:p>
      <w:pPr>
        <w:pStyle w:val="FirstParagraph"/>
      </w:pPr>
      <w:r>
        <w:t xml:space="preserve">Based on the research insights, the designer creates:</w:t>
      </w:r>
    </w:p>
    <w:p>
      <w:pPr>
        <w:numPr>
          <w:ilvl w:val="0"/>
          <w:numId w:val="1006"/>
        </w:numPr>
        <w:pStyle w:val="Compact"/>
      </w:pPr>
      <w:r>
        <w:t xml:space="preserve">Information architecture and user flows.</w:t>
      </w:r>
    </w:p>
    <w:p>
      <w:pPr>
        <w:numPr>
          <w:ilvl w:val="0"/>
          <w:numId w:val="1006"/>
        </w:numPr>
        <w:pStyle w:val="Compact"/>
      </w:pPr>
      <w:r>
        <w:t xml:space="preserve">Low-fidelity wireframes for core screens.</w:t>
      </w:r>
    </w:p>
    <w:p>
      <w:pPr>
        <w:numPr>
          <w:ilvl w:val="0"/>
          <w:numId w:val="1006"/>
        </w:numPr>
        <w:pStyle w:val="Compact"/>
      </w:pPr>
      <w:r>
        <w:t xml:space="preserve">High-fidelity UI designs aligned with a provided or self-created design system.</w:t>
      </w:r>
    </w:p>
    <w:p>
      <w:pPr>
        <w:numPr>
          <w:ilvl w:val="0"/>
          <w:numId w:val="1006"/>
        </w:numPr>
        <w:pStyle w:val="Compact"/>
      </w:pPr>
      <w:r>
        <w:t xml:space="preserve">Interactive prototypes demonstrating key interactions.</w:t>
      </w:r>
    </w:p>
    <w:p>
      <w:pPr>
        <w:pStyle w:val="FirstParagraph"/>
      </w:pPr>
      <w:r>
        <w:t xml:space="preserve">Designs must consider:</w:t>
      </w:r>
    </w:p>
    <w:p>
      <w:pPr>
        <w:numPr>
          <w:ilvl w:val="0"/>
          <w:numId w:val="1007"/>
        </w:numPr>
        <w:pStyle w:val="Compact"/>
      </w:pPr>
      <w:r>
        <w:t xml:space="preserve">Accessibility (contrast, keyboard navigation, screen reader compatibility).</w:t>
      </w:r>
    </w:p>
    <w:p>
      <w:pPr>
        <w:numPr>
          <w:ilvl w:val="0"/>
          <w:numId w:val="1007"/>
        </w:numPr>
        <w:pStyle w:val="Compact"/>
      </w:pPr>
      <w:r>
        <w:t xml:space="preserve">Localization (Dutch and English language support).</w:t>
      </w:r>
    </w:p>
    <w:p>
      <w:pPr>
        <w:numPr>
          <w:ilvl w:val="0"/>
          <w:numId w:val="1007"/>
        </w:numPr>
        <w:pStyle w:val="Compact"/>
      </w:pPr>
      <w:r>
        <w:t xml:space="preserve">Performance and feasibility for development.</w:t>
      </w:r>
    </w:p>
    <w:bookmarkEnd w:id="28"/>
    <w:bookmarkStart w:id="29" w:name="phase-3-presentation-and-defense"/>
    <w:p>
      <w:pPr>
        <w:pStyle w:val="Heading3"/>
      </w:pPr>
      <w:r>
        <w:t xml:space="preserve">5.3 Phase 3: Presentation and Defense</w:t>
      </w:r>
    </w:p>
    <w:p>
      <w:pPr>
        <w:pStyle w:val="FirstParagraph"/>
      </w:pPr>
      <w:r>
        <w:t xml:space="preserve">The designer presents their work to evaluators in a 30-minute session, followed by a 15-minute Q&amp;A. The presentation must cover:</w:t>
      </w:r>
    </w:p>
    <w:p>
      <w:pPr>
        <w:numPr>
          <w:ilvl w:val="0"/>
          <w:numId w:val="1008"/>
        </w:numPr>
        <w:pStyle w:val="Compact"/>
      </w:pPr>
      <w:r>
        <w:t xml:space="preserve">Research rationale and key findings.</w:t>
      </w:r>
    </w:p>
    <w:p>
      <w:pPr>
        <w:numPr>
          <w:ilvl w:val="0"/>
          <w:numId w:val="1008"/>
        </w:numPr>
        <w:pStyle w:val="Compact"/>
      </w:pPr>
      <w:r>
        <w:t xml:space="preserve">Design decisions and trade-offs.</w:t>
      </w:r>
    </w:p>
    <w:p>
      <w:pPr>
        <w:numPr>
          <w:ilvl w:val="0"/>
          <w:numId w:val="1008"/>
        </w:numPr>
        <w:pStyle w:val="Compact"/>
      </w:pPr>
      <w:r>
        <w:t xml:space="preserve">How the solution addresses Amsterdam-specific user needs.</w:t>
      </w:r>
    </w:p>
    <w:p>
      <w:pPr>
        <w:numPr>
          <w:ilvl w:val="0"/>
          <w:numId w:val="1008"/>
        </w:numPr>
        <w:pStyle w:val="Compact"/>
      </w:pPr>
      <w:r>
        <w:t xml:space="preserve">Plans for usability testing and iteration.</w:t>
      </w:r>
    </w:p>
    <w:bookmarkEnd w:id="29"/>
    <w:bookmarkEnd w:id="30"/>
    <w:bookmarkStart w:id="31" w:name="evaluation-criteria"/>
    <w:p>
      <w:pPr>
        <w:pStyle w:val="Heading2"/>
      </w:pPr>
      <w:r>
        <w:t xml:space="preserve">6. Evaluation Criteria</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Criterion</w:t>
            </w:r>
          </w:p>
        </w:tc>
        <w:tc>
          <w:tcPr/>
          <w:p>
            <w:pPr>
              <w:pStyle w:val="Compact"/>
              <w:jc w:val="left"/>
            </w:pPr>
            <w:r>
              <w:t xml:space="preserve">Description</w:t>
            </w:r>
          </w:p>
        </w:tc>
        <w:tc>
          <w:tcPr/>
          <w:p>
            <w:pPr>
              <w:pStyle w:val="Compact"/>
              <w:jc w:val="left"/>
            </w:pPr>
            <w:r>
              <w:t xml:space="preserve">Weight</w:t>
            </w:r>
          </w:p>
        </w:tc>
      </w:tr>
      <w:tr>
        <w:tc>
          <w:tcPr/>
          <w:p>
            <w:pPr>
              <w:pStyle w:val="Compact"/>
              <w:jc w:val="left"/>
            </w:pPr>
            <w:r>
              <w:t xml:space="preserve">User-Centered Approach</w:t>
            </w:r>
          </w:p>
        </w:tc>
        <w:tc>
          <w:tcPr/>
          <w:p>
            <w:pPr>
              <w:pStyle w:val="Compact"/>
              <w:jc w:val="left"/>
            </w:pPr>
            <w:r>
              <w:t xml:space="preserve">Quality of research, persona relevance, and alignment with user needs.</w:t>
            </w:r>
          </w:p>
        </w:tc>
        <w:tc>
          <w:tcPr/>
          <w:p>
            <w:pPr>
              <w:pStyle w:val="Compact"/>
              <w:jc w:val="left"/>
            </w:pPr>
            <w:r>
              <w:t xml:space="preserve">25%</w:t>
            </w:r>
          </w:p>
        </w:tc>
      </w:tr>
      <w:tr>
        <w:tc>
          <w:tcPr/>
          <w:p>
            <w:pPr>
              <w:pStyle w:val="Compact"/>
              <w:jc w:val="left"/>
            </w:pPr>
            <w:r>
              <w:t xml:space="preserve">UX Quality</w:t>
            </w:r>
          </w:p>
        </w:tc>
        <w:tc>
          <w:tcPr/>
          <w:p>
            <w:pPr>
              <w:pStyle w:val="Compact"/>
              <w:jc w:val="left"/>
            </w:pPr>
            <w:r>
              <w:t xml:space="preserve">Clarity of flows, information architecture, and interaction design.</w:t>
            </w:r>
          </w:p>
        </w:tc>
        <w:tc>
          <w:tcPr/>
          <w:p>
            <w:pPr>
              <w:pStyle w:val="Compact"/>
              <w:jc w:val="left"/>
            </w:pPr>
            <w:r>
              <w:t xml:space="preserve">25%</w:t>
            </w:r>
          </w:p>
        </w:tc>
      </w:tr>
      <w:tr>
        <w:tc>
          <w:tcPr/>
          <w:p>
            <w:pPr>
              <w:pStyle w:val="Compact"/>
              <w:jc w:val="left"/>
            </w:pPr>
            <w:r>
              <w:t xml:space="preserve">UI Quality</w:t>
            </w:r>
          </w:p>
        </w:tc>
        <w:tc>
          <w:tcPr/>
          <w:p>
            <w:pPr>
              <w:pStyle w:val="Compact"/>
              <w:jc w:val="left"/>
            </w:pPr>
            <w:r>
              <w:t xml:space="preserve">Visual consistency, typography, color usage, and aesthetic alignment with Amsterdam design standards.</w:t>
            </w:r>
          </w:p>
        </w:tc>
        <w:tc>
          <w:tcPr/>
          <w:p>
            <w:pPr>
              <w:pStyle w:val="Compact"/>
              <w:jc w:val="left"/>
            </w:pPr>
            <w:r>
              <w:t xml:space="preserve">20%</w:t>
            </w:r>
          </w:p>
        </w:tc>
      </w:tr>
      <w:tr>
        <w:tc>
          <w:tcPr/>
          <w:p>
            <w:pPr>
              <w:pStyle w:val="Compact"/>
              <w:jc w:val="left"/>
            </w:pPr>
            <w:r>
              <w:t xml:space="preserve">Accessibility &amp; Inclusivity</w:t>
            </w:r>
          </w:p>
        </w:tc>
        <w:tc>
          <w:tcPr/>
          <w:p>
            <w:pPr>
              <w:pStyle w:val="Compact"/>
              <w:jc w:val="left"/>
            </w:pPr>
            <w:r>
              <w:t xml:space="preserve">Compliance with WCAG and consideration for diverse users.</w:t>
            </w:r>
          </w:p>
        </w:tc>
        <w:tc>
          <w:tcPr/>
          <w:p>
            <w:pPr>
              <w:pStyle w:val="Compact"/>
              <w:jc w:val="left"/>
            </w:pPr>
            <w:r>
              <w:t xml:space="preserve">15%</w:t>
            </w:r>
          </w:p>
        </w:tc>
      </w:tr>
      <w:tr>
        <w:tc>
          <w:tcPr/>
          <w:p>
            <w:pPr>
              <w:pStyle w:val="Compact"/>
              <w:jc w:val="left"/>
            </w:pPr>
            <w:r>
              <w:t xml:space="preserve">Communication &amp; Collaboration</w:t>
            </w:r>
          </w:p>
        </w:tc>
        <w:tc>
          <w:tcPr/>
          <w:p>
            <w:pPr>
              <w:pStyle w:val="Compact"/>
              <w:jc w:val="left"/>
            </w:pPr>
            <w:r>
              <w:t xml:space="preserve">Clarity of presentation, responsiveness to feedback, and teamwork orientation.</w:t>
            </w:r>
          </w:p>
        </w:tc>
        <w:tc>
          <w:tcPr/>
          <w:p>
            <w:pPr>
              <w:pStyle w:val="Compact"/>
              <w:jc w:val="left"/>
            </w:pPr>
            <w:r>
              <w:t xml:space="preserve">15%</w:t>
            </w:r>
          </w:p>
        </w:tc>
      </w:tr>
    </w:tbl>
    <w:bookmarkEnd w:id="31"/>
    <w:bookmarkStart w:id="32" w:name="ethical-and-legal-considerations"/>
    <w:p>
      <w:pPr>
        <w:pStyle w:val="Heading2"/>
      </w:pPr>
      <w:r>
        <w:t xml:space="preserve">7. Ethical and Legal Considerations</w:t>
      </w:r>
    </w:p>
    <w:p>
      <w:pPr>
        <w:pStyle w:val="FirstParagraph"/>
      </w:pPr>
      <w:r>
        <w:t xml:space="preserve">All activities must comply with:</w:t>
      </w:r>
    </w:p>
    <w:p>
      <w:pPr>
        <w:numPr>
          <w:ilvl w:val="0"/>
          <w:numId w:val="1009"/>
        </w:numPr>
        <w:pStyle w:val="Compact"/>
      </w:pPr>
      <w:r>
        <w:t xml:space="preserve">EU General Data Protection Regulation (GDPR).</w:t>
      </w:r>
    </w:p>
    <w:p>
      <w:pPr>
        <w:numPr>
          <w:ilvl w:val="0"/>
          <w:numId w:val="1009"/>
        </w:numPr>
        <w:pStyle w:val="Compact"/>
      </w:pPr>
      <w:r>
        <w:t xml:space="preserve">Dutch implementation of accessibility and employment standards.</w:t>
      </w:r>
    </w:p>
    <w:p>
      <w:pPr>
        <w:numPr>
          <w:ilvl w:val="0"/>
          <w:numId w:val="1009"/>
        </w:numPr>
        <w:pStyle w:val="Compact"/>
      </w:pPr>
      <w:r>
        <w:t xml:space="preserve">Internal company policies on intellectual property and confidentiality.</w:t>
      </w:r>
    </w:p>
    <w:p>
      <w:pPr>
        <w:pStyle w:val="FirstParagraph"/>
      </w:pPr>
      <w:r>
        <w:t xml:space="preserve">Participants must provide informed consent. Any user data used in simulations must be anonymized or synthetic.</w:t>
      </w:r>
    </w:p>
    <w:bookmarkEnd w:id="32"/>
    <w:bookmarkStart w:id="33" w:name="timeline-and-resources"/>
    <w:p>
      <w:pPr>
        <w:pStyle w:val="Heading2"/>
      </w:pPr>
      <w:r>
        <w:t xml:space="preserve">8. Timeline and Resources</w:t>
      </w:r>
    </w:p>
    <w:p>
      <w:pPr>
        <w:pStyle w:val="FirstParagraph"/>
      </w:pPr>
      <w:r>
        <w:t xml:space="preserve">Recommended duration: 5–7 working days.</w:t>
      </w:r>
    </w:p>
    <w:p>
      <w:pPr>
        <w:numPr>
          <w:ilvl w:val="0"/>
          <w:numId w:val="1010"/>
        </w:numPr>
        <w:pStyle w:val="Compact"/>
      </w:pPr>
      <w:r>
        <w:t xml:space="preserve">Day 1: Briefing and research planning.</w:t>
      </w:r>
    </w:p>
    <w:p>
      <w:pPr>
        <w:numPr>
          <w:ilvl w:val="0"/>
          <w:numId w:val="1010"/>
        </w:numPr>
        <w:pStyle w:val="Compact"/>
      </w:pPr>
      <w:r>
        <w:t xml:space="preserve">Days 2–4: Design execution.</w:t>
      </w:r>
    </w:p>
    <w:p>
      <w:pPr>
        <w:numPr>
          <w:ilvl w:val="0"/>
          <w:numId w:val="1010"/>
        </w:numPr>
        <w:pStyle w:val="Compact"/>
      </w:pPr>
      <w:r>
        <w:t xml:space="preserve">Day 5: Preparation and presentation.</w:t>
      </w:r>
    </w:p>
    <w:p>
      <w:pPr>
        <w:pStyle w:val="FirstParagraph"/>
      </w:pPr>
      <w:r>
        <w:t xml:space="preserve">Required resources: design software licenses, access to design system guidelines, evaluation rubrics, and a presentation environment.</w:t>
      </w:r>
    </w:p>
    <w:bookmarkEnd w:id="33"/>
    <w:bookmarkStart w:id="34" w:name="conclusion"/>
    <w:p>
      <w:pPr>
        <w:pStyle w:val="Heading2"/>
      </w:pPr>
      <w:r>
        <w:t xml:space="preserve">9. Conclusion</w:t>
      </w:r>
    </w:p>
    <w:p>
      <w:pPr>
        <w:pStyle w:val="FirstParagraph"/>
      </w:pPr>
      <w:r>
        <w:t xml:space="preserve">This Experiment Protocol provides a rigorous, context-aware framework for assessing UX/UI Designers in Amsterdam, Netherlands. By integrating local market expectations, regulatory requirements, and international design standards, it ensures that evaluations are fair, relevant, and predictive of real-world performance. Organizations using this protocol can confidently identify designers capable of delivering high-quality, user-centered digital experiences in Amsterdam’s dynamic innovation landscape.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UX/UI Designer in Amsterdam</dc:title>
  <dc:creator/>
  <dc:language>en</dc:language>
  <cp:keywords/>
  <dcterms:created xsi:type="dcterms:W3CDTF">2026-10-10T02:45:56Z</dcterms:created>
  <dcterms:modified xsi:type="dcterms:W3CDTF">2026-10-10T02:45:56Z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