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Moscow,</w:t>
      </w:r>
      <w:r>
        <w:t xml:space="preserve"> </w:t>
      </w:r>
      <w:r>
        <w:t xml:space="preserve">Russia</w:t>
      </w:r>
    </w:p>
    <w:bookmarkStart w:id="20" w:name="X40e1c617f0d5827b5a8cbe8358b9c2111d9f21e"/>
    <w:p>
      <w:pPr>
        <w:pStyle w:val="Heading1"/>
      </w:pPr>
      <w:r>
        <w:t xml:space="preserve">Experiment Protocol: UX/UI Design Evaluation</w:t>
      </w:r>
    </w:p>
    <w:p>
      <w:pPr>
        <w:pStyle w:val="FirstParagraph"/>
      </w:pPr>
      <w:r>
        <w:rPr>
          <w:bCs/>
          <w:b/>
        </w:rPr>
        <w:t xml:space="preserve">Project Code:</w:t>
      </w:r>
      <w:r>
        <w:t xml:space="preserve"> </w:t>
      </w:r>
      <w:r>
        <w:t xml:space="preserve">MOS-UX-2024-01</w:t>
      </w:r>
    </w:p>
    <w:p>
      <w:pPr>
        <w:pStyle w:val="BodyText"/>
      </w:pPr>
      <w:r>
        <w:rPr>
          <w:bCs/>
          <w:b/>
        </w:rPr>
        <w:t xml:space="preserve">Location:</w:t>
      </w:r>
      <w:r>
        <w:t xml:space="preserve"> </w:t>
      </w:r>
      <w:r>
        <w:t xml:space="preserve">Moscow, Russia</w:t>
      </w:r>
    </w:p>
    <w:bookmarkEnd w:id="20"/>
    <w:p>
      <w:pPr>
        <w:pStyle w:val="BodyText"/>
      </w:pPr>
      <w:r>
        <w:rPr>
          <w:bCs/>
          <w:b/>
        </w:rPr>
        <w:t xml:space="preserve">Principal Investigator:</w:t>
      </w:r>
      <w:r>
        <w:t xml:space="preserve"> </w:t>
      </w:r>
      <w:r>
        <w:t xml:space="preserve">[Name Redacted]</w:t>
      </w:r>
    </w:p>
    <w:p>
      <w:pPr>
        <w:pStyle w:val="BodyText"/>
      </w:pPr>
      <w:r>
        <w:rPr>
          <w:bCs/>
          <w:b/>
        </w:rPr>
        <w:t xml:space="preserve">Date of Protocol:</w:t>
      </w:r>
      <w:r>
        <w:t xml:space="preserve"> </w:t>
      </w:r>
      <w:r>
        <w:t xml:space="preserve">October 24, 2024</w:t>
      </w:r>
    </w:p>
    <w:p>
      <w:pPr>
        <w:pStyle w:val="BodyText"/>
      </w:pPr>
      <w:r>
        <w:rPr>
          <w:bCs/>
          <w:b/>
        </w:rPr>
        <w:t xml:space="preserve">Version:</w:t>
      </w:r>
      <w:r>
        <w:t xml:space="preserve"> </w:t>
      </w:r>
      <w:r>
        <w:t xml:space="preserve">1.0</w:t>
      </w:r>
    </w:p>
    <w:p>
      <w:pPr>
        <w:pStyle w:val="BodyText"/>
      </w:pPr>
      <w:r>
        <w:rPr>
          <w:bCs/>
          <w:b/>
        </w:rPr>
        <w:t xml:space="preserve">Target Audience:</w:t>
      </w:r>
      <w:r>
        <w:t xml:space="preserve"> </w:t>
      </w:r>
      <w:r>
        <w:t xml:space="preserve">UX/UI Designers, Product Managers, Research Analysts</w:t>
      </w:r>
    </w:p>
    <w:bookmarkStart w:id="21" w:name="introduction-and-background"/>
    <w:p>
      <w:pPr>
        <w:pStyle w:val="Heading2"/>
      </w:pPr>
      <w:r>
        <w:t xml:space="preserve">1. Introduction and Background</w:t>
      </w:r>
    </w:p>
    <w:p>
      <w:pPr>
        <w:pStyle w:val="FirstParagraph"/>
      </w:pPr>
      <w:r>
        <w:t xml:space="preserve">This Experiment Protocol outlines the methodology for evaluating the usability, accessibility, and aesthetic appeal of a digital product interface designed specifically for the Moscow market. As a UX/UI Designer operating within the Russian Federation, it is imperative to account for the unique cultural, linguistic, and technological landscape of Moscow. This city represents a highly digital-savvy population with distinct preferences regarding interface density, navigation patterns, and trust signals.</w:t>
      </w:r>
    </w:p>
    <w:p>
      <w:pPr>
        <w:pStyle w:val="BodyText"/>
      </w:pPr>
      <w:r>
        <w:t xml:space="preserve">The primary objective of this experiment is to determine whether the current UI design aligns with the cognitive models of Moscow-based users. The protocol focuses on identifying friction points in the user journey, assessing the clarity of Russian-language microcopy, and evaluating the performance of the interface on devices prevalent in the region.</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Usability Assessment:</w:t>
      </w:r>
      <w:r>
        <w:t xml:space="preserve"> </w:t>
      </w:r>
      <w:r>
        <w:t xml:space="preserve">Measure task completion rates and time-on-task for core user flows (e.g., registration, purchase, information retrieval).</w:t>
      </w:r>
    </w:p>
    <w:p>
      <w:pPr>
        <w:numPr>
          <w:ilvl w:val="0"/>
          <w:numId w:val="1001"/>
        </w:numPr>
        <w:pStyle w:val="Compact"/>
      </w:pPr>
      <w:r>
        <w:rPr>
          <w:bCs/>
          <w:b/>
        </w:rPr>
        <w:t xml:space="preserve">Cultural Localization:</w:t>
      </w:r>
      <w:r>
        <w:t xml:space="preserve"> </w:t>
      </w:r>
      <w:r>
        <w:t xml:space="preserve">Evaluate if visual elements, color schemes, and imagery resonate with local cultural norms in Moscow.</w:t>
      </w:r>
    </w:p>
    <w:p>
      <w:pPr>
        <w:numPr>
          <w:ilvl w:val="0"/>
          <w:numId w:val="1001"/>
        </w:numPr>
        <w:pStyle w:val="Compact"/>
      </w:pPr>
      <w:r>
        <w:rPr>
          <w:bCs/>
          <w:b/>
        </w:rPr>
        <w:t xml:space="preserve">Accessibility Compliance:</w:t>
      </w:r>
      <w:r>
        <w:t xml:space="preserve"> </w:t>
      </w:r>
      <w:r>
        <w:t xml:space="preserve">Ensure the design meets Russian federal standards for digital accessibility (GOST R 52872-2019).</w:t>
      </w:r>
    </w:p>
    <w:p>
      <w:pPr>
        <w:numPr>
          <w:ilvl w:val="0"/>
          <w:numId w:val="1001"/>
        </w:numPr>
        <w:pStyle w:val="Compact"/>
      </w:pPr>
      <w:r>
        <w:rPr>
          <w:bCs/>
          <w:b/>
        </w:rPr>
        <w:t xml:space="preserve">Trust and Credibility:</w:t>
      </w:r>
      <w:r>
        <w:t xml:space="preserve"> </w:t>
      </w:r>
      <w:r>
        <w:t xml:space="preserve">Analyze user perception of security and reliability based on UI cues.</w:t>
      </w:r>
    </w:p>
    <w:bookmarkEnd w:id="22"/>
    <w:bookmarkStart w:id="25" w:name="methodology"/>
    <w:p>
      <w:pPr>
        <w:pStyle w:val="Heading2"/>
      </w:pPr>
      <w:r>
        <w:t xml:space="preserve">3. Methodology</w:t>
      </w:r>
    </w:p>
    <w:p>
      <w:pPr>
        <w:pStyle w:val="FirstParagraph"/>
      </w:pPr>
      <w:r>
        <w:t xml:space="preserve">This study will employ a mixed-methods approach, combining moderated usability testing with quantitative analytics. The experiment will be conducted in a controlled environment in central Moscow to minimize external variables.</w:t>
      </w:r>
    </w:p>
    <w:bookmarkStart w:id="23" w:name="participants"/>
    <w:p>
      <w:pPr>
        <w:pStyle w:val="Heading3"/>
      </w:pPr>
      <w:r>
        <w:t xml:space="preserve">3.1 Participants</w:t>
      </w:r>
    </w:p>
    <w:p>
      <w:pPr>
        <w:pStyle w:val="FirstParagraph"/>
      </w:pPr>
      <w:r>
        <w:t xml:space="preserve">Recruitment will target residents of Moscow aged 18–55. The sample size will consist of 20 participants, divided into two groups:</w:t>
      </w:r>
    </w:p>
    <w:p>
      <w:pPr>
        <w:numPr>
          <w:ilvl w:val="0"/>
          <w:numId w:val="1002"/>
        </w:numPr>
        <w:pStyle w:val="Compact"/>
      </w:pPr>
      <w:r>
        <w:rPr>
          <w:bCs/>
          <w:b/>
        </w:rPr>
        <w:t xml:space="preserve">Group A (Power Users):</w:t>
      </w:r>
      <w:r>
        <w:t xml:space="preserve"> </w:t>
      </w:r>
      <w:r>
        <w:t xml:space="preserve">Individuals who use similar digital services daily.</w:t>
      </w:r>
    </w:p>
    <w:p>
      <w:pPr>
        <w:numPr>
          <w:ilvl w:val="0"/>
          <w:numId w:val="1002"/>
        </w:numPr>
        <w:pStyle w:val="Compact"/>
      </w:pPr>
      <w:r>
        <w:rPr>
          <w:bCs/>
          <w:b/>
        </w:rPr>
        <w:t xml:space="preserve">Group B (Casual Users):</w:t>
      </w:r>
      <w:r>
        <w:t xml:space="preserve"> </w:t>
      </w:r>
      <w:r>
        <w:t xml:space="preserve">Individuals with moderate digital literacy.</w:t>
      </w:r>
    </w:p>
    <w:p>
      <w:pPr>
        <w:pStyle w:val="FirstParagraph"/>
      </w:pPr>
      <w:r>
        <w:t xml:space="preserve">All participants must be fluent in Russian and have access to a smartphone or laptop. Incentives will be provided in the form of gift cards to popular Russian retail chains.</w:t>
      </w:r>
    </w:p>
    <w:bookmarkEnd w:id="23"/>
    <w:bookmarkStart w:id="24" w:name="materials-and-tools"/>
    <w:p>
      <w:pPr>
        <w:pStyle w:val="Heading3"/>
      </w:pPr>
      <w:r>
        <w:t xml:space="preserve">3.2 Materials and Tools</w:t>
      </w:r>
    </w:p>
    <w:p>
      <w:pPr>
        <w:pStyle w:val="FirstParagraph"/>
      </w:pPr>
      <w:r>
        <w:t xml:space="preserve">The following tools will be utilized during the experiment:</w:t>
      </w:r>
    </w:p>
    <w:p>
      <w:pPr>
        <w:numPr>
          <w:ilvl w:val="0"/>
          <w:numId w:val="1003"/>
        </w:numPr>
        <w:pStyle w:val="Compact"/>
      </w:pPr>
      <w:r>
        <w:rPr>
          <w:bCs/>
          <w:b/>
        </w:rPr>
        <w:t xml:space="preserve">Prototype:</w:t>
      </w:r>
      <w:r>
        <w:t xml:space="preserve"> </w:t>
      </w:r>
      <w:r>
        <w:t xml:space="preserve">High-fidelity interactive prototype developed in Figma.</w:t>
      </w:r>
    </w:p>
    <w:p>
      <w:pPr>
        <w:numPr>
          <w:ilvl w:val="0"/>
          <w:numId w:val="1003"/>
        </w:numPr>
        <w:pStyle w:val="Compact"/>
      </w:pPr>
      <w:r>
        <w:rPr>
          <w:bCs/>
          <w:b/>
        </w:rPr>
        <w:t xml:space="preserve">Screen Recording:</w:t>
      </w:r>
      <w:r>
        <w:t xml:space="preserve"> </w:t>
      </w:r>
      <w:r>
        <w:t xml:space="preserve">OBS Studio for capturing screen activity and facial expressions.</w:t>
      </w:r>
    </w:p>
    <w:p>
      <w:pPr>
        <w:numPr>
          <w:ilvl w:val="0"/>
          <w:numId w:val="1003"/>
        </w:numPr>
        <w:pStyle w:val="Compact"/>
      </w:pPr>
      <w:r>
        <w:rPr>
          <w:bCs/>
          <w:b/>
        </w:rPr>
        <w:t xml:space="preserve">Survey Instrument:</w:t>
      </w:r>
      <w:r>
        <w:t xml:space="preserve"> </w:t>
      </w:r>
      <w:r>
        <w:t xml:space="preserve">System Usability Scale (SUS) translated into Russian.</w:t>
      </w:r>
    </w:p>
    <w:p>
      <w:pPr>
        <w:numPr>
          <w:ilvl w:val="0"/>
          <w:numId w:val="1003"/>
        </w:numPr>
        <w:pStyle w:val="Compact"/>
      </w:pPr>
      <w:r>
        <w:rPr>
          <w:bCs/>
          <w:b/>
        </w:rPr>
        <w:t xml:space="preserve">Hardware:</w:t>
      </w:r>
      <w:r>
        <w:t xml:space="preserve"> </w:t>
      </w:r>
      <w:r>
        <w:t xml:space="preserve">Standardized laptops and smartphones reflecting average market usage in Moscow.</w:t>
      </w:r>
    </w:p>
    <w:bookmarkEnd w:id="24"/>
    <w:bookmarkEnd w:id="25"/>
    <w:bookmarkStart w:id="29" w:name="procedure"/>
    <w:p>
      <w:pPr>
        <w:pStyle w:val="Heading2"/>
      </w:pPr>
      <w:r>
        <w:t xml:space="preserve">4. Procedure</w:t>
      </w:r>
    </w:p>
    <w:p>
      <w:pPr>
        <w:pStyle w:val="FirstParagraph"/>
      </w:pPr>
      <w:r>
        <w:t xml:space="preserve">The experiment will follow a strict sequence to ensure consistency across all sessions. Each session will last approximately 60 minutes.</w:t>
      </w:r>
    </w:p>
    <w:bookmarkStart w:id="26" w:name="pre-test-phase"/>
    <w:p>
      <w:pPr>
        <w:pStyle w:val="Heading3"/>
      </w:pPr>
      <w:r>
        <w:t xml:space="preserve">4.1 Pre-Test Phase</w:t>
      </w:r>
    </w:p>
    <w:p>
      <w:pPr>
        <w:pStyle w:val="FirstParagraph"/>
      </w:pPr>
      <w:r>
        <w:t xml:space="preserve">Upon arrival at the testing facility in Moscow, participants will sign a consent form compliant with Russian data protection laws (Federal Law No. 152-FZ). They will then complete a brief demographic questionnaire to establish their baseline digital proficiency.</w:t>
      </w:r>
    </w:p>
    <w:bookmarkEnd w:id="26"/>
    <w:bookmarkStart w:id="27" w:name="task-execution"/>
    <w:p>
      <w:pPr>
        <w:pStyle w:val="Heading3"/>
      </w:pPr>
      <w:r>
        <w:t xml:space="preserve">4.2 Task Execution</w:t>
      </w:r>
    </w:p>
    <w:p>
      <w:pPr>
        <w:pStyle w:val="FirstParagraph"/>
      </w:pPr>
      <w:r>
        <w:t xml:space="preserve">Participants will be asked to perform five specific tasks while thinking aloud. The tasks are designed to simulate real-world scenarios common in Moscow, such as:</w:t>
      </w:r>
    </w:p>
    <w:p>
      <w:pPr>
        <w:numPr>
          <w:ilvl w:val="0"/>
          <w:numId w:val="1004"/>
        </w:numPr>
        <w:pStyle w:val="Compact"/>
      </w:pPr>
      <w:r>
        <w:t xml:space="preserve">Navigating to a specific service category using Russian keywords.</w:t>
      </w:r>
    </w:p>
    <w:p>
      <w:pPr>
        <w:numPr>
          <w:ilvl w:val="0"/>
          <w:numId w:val="1004"/>
        </w:numPr>
        <w:pStyle w:val="Compact"/>
      </w:pPr>
      <w:r>
        <w:t xml:space="preserve">Completing a registration form using a local phone number format.</w:t>
      </w:r>
    </w:p>
    <w:p>
      <w:pPr>
        <w:numPr>
          <w:ilvl w:val="0"/>
          <w:numId w:val="1004"/>
        </w:numPr>
        <w:pStyle w:val="Compact"/>
      </w:pPr>
      <w:r>
        <w:t xml:space="preserve">Processing a payment using a Mir card interface.</w:t>
      </w:r>
    </w:p>
    <w:p>
      <w:pPr>
        <w:numPr>
          <w:ilvl w:val="0"/>
          <w:numId w:val="1004"/>
        </w:numPr>
        <w:pStyle w:val="Compact"/>
      </w:pPr>
      <w:r>
        <w:t xml:space="preserve">Locating customer support contact information.</w:t>
      </w:r>
    </w:p>
    <w:p>
      <w:pPr>
        <w:numPr>
          <w:ilvl w:val="0"/>
          <w:numId w:val="1004"/>
        </w:numPr>
        <w:pStyle w:val="Compact"/>
      </w:pPr>
      <w:r>
        <w:t xml:space="preserve">Adjusting settings for language and notification preferences.</w:t>
      </w:r>
    </w:p>
    <w:p>
      <w:pPr>
        <w:pStyle w:val="FirstParagraph"/>
      </w:pPr>
      <w:r>
        <w:t xml:space="preserve">The UX/UI Designer will observe silently, noting any hesitation, confusion, or errors.</w:t>
      </w:r>
    </w:p>
    <w:bookmarkEnd w:id="27"/>
    <w:bookmarkStart w:id="28" w:name="post-test-phase"/>
    <w:p>
      <w:pPr>
        <w:pStyle w:val="Heading3"/>
      </w:pPr>
      <w:r>
        <w:t xml:space="preserve">4.3 Post-Test Phase</w:t>
      </w:r>
    </w:p>
    <w:p>
      <w:pPr>
        <w:pStyle w:val="FirstParagraph"/>
      </w:pPr>
      <w:r>
        <w:t xml:space="preserve">After completing the tasks, participants will fill out the Russian version of the SUS questionnaire. A semi-structured interview will follow, focusing on their overall impression of the design, readability of fonts, and comfort with the color palette.</w:t>
      </w:r>
    </w:p>
    <w:bookmarkEnd w:id="28"/>
    <w:bookmarkEnd w:id="29"/>
    <w:bookmarkStart w:id="30" w:name="data-analysis"/>
    <w:p>
      <w:pPr>
        <w:pStyle w:val="Heading2"/>
      </w:pPr>
      <w:r>
        <w:t xml:space="preserve">5. Data Analysis</w:t>
      </w:r>
    </w:p>
    <w:p>
      <w:pPr>
        <w:pStyle w:val="FirstParagraph"/>
      </w:pPr>
      <w:r>
        <w:t xml:space="preserve">Data will be analyzed using both qualitative and quantitative methods. Task success rates will be calculated as a percentage. Time-on-task will be averaged across all participants. Qualitative data from think-aloud protocols and interviews will be coded for recurring themes, such as "confusion," "trust," or "ease of use."</w:t>
      </w:r>
    </w:p>
    <w:p>
      <w:pPr>
        <w:pStyle w:val="BodyText"/>
      </w:pPr>
      <w:r>
        <w:t xml:space="preserve">Special attention will be paid to localization issues. For example, if participants struggle with Cyrillic font rendering or misinterpret culturally specific icons, these will be flagged as critical design flaws.</w:t>
      </w:r>
    </w:p>
    <w:bookmarkEnd w:id="30"/>
    <w:bookmarkStart w:id="31" w:name="ethical-considerations"/>
    <w:p>
      <w:pPr>
        <w:pStyle w:val="Heading2"/>
      </w:pPr>
      <w:r>
        <w:t xml:space="preserve">6. Ethical Considerations</w:t>
      </w:r>
    </w:p>
    <w:p>
      <w:pPr>
        <w:pStyle w:val="FirstParagraph"/>
      </w:pPr>
      <w:r>
        <w:t xml:space="preserve">This experiment adheres to strict ethical guidelines. All personal data collected will be anonymized and stored securely on servers located within the Russian Federation, in compliance with local regulations. Participants have the right to withdraw from the study at any time without penalty.</w:t>
      </w:r>
    </w:p>
    <w:bookmarkEnd w:id="31"/>
    <w:bookmarkStart w:id="32" w:name="conclusion-and-deliverables"/>
    <w:p>
      <w:pPr>
        <w:pStyle w:val="Heading2"/>
      </w:pPr>
      <w:r>
        <w:t xml:space="preserve">7. Conclusion and Deliverables</w:t>
      </w:r>
    </w:p>
    <w:p>
      <w:pPr>
        <w:pStyle w:val="FirstParagraph"/>
      </w:pPr>
      <w:r>
        <w:t xml:space="preserve">Upon completion of the experiment, the UX/UI Designer will produce a comprehensive report detailing findings, recommendations, and prioritized action items. This report will serve as the basis for iterative design improvements, ensuring the final product is optimized for the Moscow market. The ultimate goal is to deliver a seamless, intuitive, and culturally relevant user experience that drives engagement and satisfaction.</w:t>
      </w:r>
    </w:p>
    <w:p>
      <w:pPr>
        <w:pStyle w:val="BodyText"/>
      </w:pPr>
      <w:r>
        <w:rPr>
          <w:bCs/>
          <w:b/>
        </w:rPr>
        <w:t xml:space="preserve">Note:</w:t>
      </w:r>
      <w:r>
        <w:t xml:space="preserve"> </w:t>
      </w:r>
      <w:r>
        <w:t xml:space="preserve">This protocol is subject to revision based on preliminary findings or changes in regulatory requirements within Russia.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Moscow, Russia</dc:title>
  <dc:creator/>
  <dc:language>en</dc:language>
  <cp:keywords/>
  <dcterms:created xsi:type="dcterms:W3CDTF">2026-10-10T06:59:23Z</dcterms:created>
  <dcterms:modified xsi:type="dcterms:W3CDTF">2026-10-10T06:59:23Z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