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9" w:name="X2fe0c9b36cab2b565017d524b2905965d3d8c8d"/>
    <w:p>
      <w:pPr>
        <w:pStyle w:val="Heading1"/>
      </w:pPr>
      <w:r>
        <w:t xml:space="preserve">Experiment Protocol: UX/UI Designer Evaluation Framework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UAE-AD-UX-EXP-2024-001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p>
      <w:pPr>
        <w:pStyle w:val="BodyText"/>
      </w:pPr>
      <w:r>
        <w:rPr>
          <w:bCs/>
          <w:b/>
        </w:rPr>
        <w:t xml:space="preserve">Target Role:</w:t>
      </w:r>
      <w:r>
        <w:t xml:space="preserve"> </w:t>
      </w:r>
      <w:r>
        <w:t xml:space="preserve">Senior UX/UI Designer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Approved for Implementation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competency, cultural adaptability, and technical proficiency of a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operating within the dynamic digital landscape of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 As Abu Dhabi continues its rapid transformation into a global smart city hub, the demand for high-fidelity, culturally resonant digital experiences has never been higher.</w:t>
      </w:r>
    </w:p>
    <w:p>
      <w:pPr>
        <w:pStyle w:val="BodyText"/>
      </w:pPr>
      <w:r>
        <w:t xml:space="preserve">The primary objective of this protocol is to move beyond traditional portfolio reviews. Instead, it establishes a rigorous, data-driven experimental environment to assess how a designer navigates complex user needs, adheres to local regulatory standards, and leverages modern design tools to solve real-world problems relevant to the Abu Dhabi market.</w:t>
      </w:r>
    </w:p>
    <w:bookmarkEnd w:id="20"/>
    <w:bookmarkStart w:id="21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is scoped specifically for the Abu Dhabi market, which presents unique challenges and opportunities.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must demonstrate an understanding of: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Requirements:</w:t>
      </w:r>
      <w:r>
        <w:t xml:space="preserve"> </w:t>
      </w:r>
      <w:r>
        <w:t xml:space="preserve">Seamless integration of Arabic (RTL) and English (LTR) interfaces.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Design aesthetics and content that respect local traditions while embracing modernity.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Standards:</w:t>
      </w:r>
      <w:r>
        <w:t xml:space="preserve"> </w:t>
      </w:r>
      <w:r>
        <w:t xml:space="preserve">Alignment with the Abu Dhabi Digital Authority (ADDA) guidelines and accessibility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Ecosystem:</w:t>
      </w:r>
      <w:r>
        <w:t xml:space="preserve"> </w:t>
      </w:r>
      <w:r>
        <w:t xml:space="preserve">High penetration of mobile usage among residents and tourists.</w:t>
      </w:r>
    </w:p>
    <w:bookmarkEnd w:id="21"/>
    <w:bookmarkStart w:id="25" w:name="experimental-methodology"/>
    <w:p>
      <w:pPr>
        <w:pStyle w:val="Heading2"/>
      </w:pPr>
      <w:r>
        <w:t xml:space="preserve">3. Experimental Methodology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mixed-methods approach, combining practical design challenges with user testing simulations. The process is divided into three distinct phases.</w:t>
      </w:r>
    </w:p>
    <w:bookmarkStart w:id="22" w:name="phase-1-the-contextual-design-challenge"/>
    <w:p>
      <w:pPr>
        <w:pStyle w:val="Heading3"/>
      </w:pPr>
      <w:r>
        <w:t xml:space="preserve">Phase 1: The Contextual Design Challenge</w:t>
      </w:r>
    </w:p>
    <w:p>
      <w:pPr>
        <w:pStyle w:val="FirstParagraph"/>
      </w:pPr>
      <w:r>
        <w:t xml:space="preserve">The candidate will be presented with a specific scenario relevant to Abu Dhabi. For example: "Redesign the user journey for a government service portal (e.g., TAMM) to improve accessibility for elderly users and non-Arabic speakers."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must produce:</w:t>
      </w:r>
    </w:p>
    <w:p>
      <w:pPr>
        <w:numPr>
          <w:ilvl w:val="0"/>
          <w:numId w:val="1002"/>
        </w:numPr>
        <w:pStyle w:val="Compact"/>
      </w:pPr>
      <w:r>
        <w:t xml:space="preserve">User personas reflecting the diverse demographics of Abu Dhabi.</w:t>
      </w:r>
    </w:p>
    <w:p>
      <w:pPr>
        <w:numPr>
          <w:ilvl w:val="0"/>
          <w:numId w:val="1002"/>
        </w:numPr>
        <w:pStyle w:val="Compact"/>
      </w:pPr>
      <w:r>
        <w:t xml:space="preserve">Wireframes demonstrating logical information architecture.</w:t>
      </w:r>
    </w:p>
    <w:p>
      <w:pPr>
        <w:numPr>
          <w:ilvl w:val="0"/>
          <w:numId w:val="1002"/>
        </w:numPr>
        <w:pStyle w:val="Compact"/>
      </w:pPr>
      <w:r>
        <w:t xml:space="preserve">High-fidelity mockups showcasing visual hierarchy and typography suitable for both Arabic and English scripts.</w:t>
      </w:r>
    </w:p>
    <w:bookmarkEnd w:id="22"/>
    <w:bookmarkStart w:id="23" w:name="X9a9d584fc41cf2189e3aee0baa7ab345b187953"/>
    <w:p>
      <w:pPr>
        <w:pStyle w:val="Heading3"/>
      </w:pPr>
      <w:r>
        <w:t xml:space="preserve">Phase 2: Technical Proficiency and Tooling</w:t>
      </w:r>
    </w:p>
    <w:p>
      <w:pPr>
        <w:pStyle w:val="FirstParagraph"/>
      </w:pPr>
      <w:r>
        <w:t xml:space="preserve">This phase evaluates the designer's technical execution. The candidate must demonstrate proficiency in industry-standard tools such as Figma, Adobe XD, or Sketch. The experiment includes a "live" component where the designer must implement a design system component library that supports RTL (Right-to-Left) layout mirroring automatically.</w:t>
      </w:r>
    </w:p>
    <w:bookmarkEnd w:id="23"/>
    <w:bookmarkStart w:id="24" w:name="phase-3-user-validation-simulation"/>
    <w:p>
      <w:pPr>
        <w:pStyle w:val="Heading3"/>
      </w:pPr>
      <w:r>
        <w:t xml:space="preserve">Phase 3: User Validation Simulation</w:t>
      </w:r>
    </w:p>
    <w:p>
      <w:pPr>
        <w:pStyle w:val="FirstParagraph"/>
      </w:pPr>
      <w:r>
        <w:t xml:space="preserve">The final phase involves a simulated user testing session.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will present their solution to a panel acting as stakeholders from Abu Dhabi-based organizations. They must defend their design decisions based on user data, accessibility compliance, and cultural appropriateness.</w:t>
      </w:r>
    </w:p>
    <w:bookmarkEnd w:id="24"/>
    <w:bookmarkEnd w:id="25"/>
    <w:bookmarkStart w:id="26" w:name="evaluation-criteria"/>
    <w:p>
      <w:pPr>
        <w:pStyle w:val="Heading2"/>
      </w:pPr>
      <w:r>
        <w:t xml:space="preserve">4. Evaluation Criteria</w:t>
      </w:r>
    </w:p>
    <w:p>
      <w:pPr>
        <w:pStyle w:val="FirstParagraph"/>
      </w:pPr>
      <w:r>
        <w:t xml:space="preserve">To ensure objectivity,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employs a weighted scoring matrix. The following criteria are critical for success in the Abu Dhabi market: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Cultural &amp; Linguistic Adaptation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Ability to design for RTL layouts, appropriate iconography, and culturally sensitive color theory.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UX Research &amp;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Depth of user empathy, persona accuracy, and problem-solving logic.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Design &amp; UI Polish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Aesthetic quality, consistency, and adherence to modern design trends.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Accessibility &amp;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Adherence to WCAG guidelines and local UAE digital government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Communication &amp; Presentation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Clarity in explaining design rationale to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</w:tbl>
    <w:bookmarkEnd w:id="26"/>
    <w:bookmarkStart w:id="27" w:name="ethical-considerations-and-data-privacy"/>
    <w:p>
      <w:pPr>
        <w:pStyle w:val="Heading2"/>
      </w:pPr>
      <w:r>
        <w:t xml:space="preserve">5. Ethical Considerations and Data Privacy</w:t>
      </w:r>
    </w:p>
    <w:p>
      <w:pPr>
        <w:pStyle w:val="FirstParagraph"/>
      </w:pPr>
      <w:r>
        <w:t xml:space="preserve">Given the strict data protection laws in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mandates strict adherence to privacy standards. Any user data used in the simulation must be anonymized.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must also demonstrate an understanding of the UAE Data Protection Law when designing data collection forms or user onboarding flows.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protocol serves as a robust framework for identifying top-tier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talent capable of thriving in Abu Dhabi's competitive digital ecosystem. By focusing on cultural relevance, technical rigor, and user-centricity, organizations can ensure they are hiring designers who will drive meaningful digital transformation in the region.</w:t>
      </w:r>
    </w:p>
    <w:p>
      <w:pPr>
        <w:pStyle w:val="BodyText"/>
      </w:pPr>
      <w:r>
        <w:t xml:space="preserve">© 2023 Abu Dhabi Digital Innovation Standards. All rights reserved.</w:t>
      </w:r>
    </w:p>
    <w:p>
      <w:pPr>
        <w:pStyle w:val="BodyText"/>
      </w:pPr>
      <w:r>
        <w:t xml:space="preserve">Confidential Document - For Internal Use Only.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UX/UI Designer Evaluation in Abu Dhabi</dc:title>
  <dc:creator/>
  <dc:language>en</dc:language>
  <cp:keywords/>
  <dcterms:created xsi:type="dcterms:W3CDTF">2026-10-10T07:34:10Z</dcterms:created>
  <dcterms:modified xsi:type="dcterms:W3CDTF">2026-10-10T07:34:10Z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