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5d2b8b11ec12e58f75132fa58626458aba4c2f6"/>
    <w:p>
      <w:pPr>
        <w:pStyle w:val="Heading1"/>
      </w:pPr>
      <w:r>
        <w:t xml:space="preserve">Experiment Protocol: UX/UI Designer Evaluation in United Kingdom Birmingham</w:t>
      </w:r>
    </w:p>
    <w:bookmarkStart w:id="20" w:name="introduction"/>
    <w:p>
      <w:pPr>
        <w:pStyle w:val="Heading2"/>
      </w:pPr>
      <w:r>
        <w:t xml:space="preserve">1. Introduction</w:t>
      </w:r>
    </w:p>
    <w:p>
      <w:pPr>
        <w:pStyle w:val="FirstParagraph"/>
      </w:pPr>
      <w:r>
        <w:t xml:space="preserve">This Experiment Protocol outlines the structured methodology for evaluating the performance, skills, and effectiveness of a UX/UI Designer within the context of United Kingdom Birmingham. The purpose of this protocol is to establish a clear, repeatable, and objective framework for assessing design capabilities, user research proficiency, and interface development skills. Birmingham’s growing tech ecosystem and diverse user base make it an ideal location for conducting UX/UI design experiments that reflect real-world challenges and opportunities.</w:t>
      </w:r>
    </w:p>
    <w:p>
      <w:pPr>
        <w:pStyle w:val="BodyText"/>
      </w:pPr>
      <w:r>
        <w:t xml:space="preserve">The protocol is designed to be used by hiring managers, design leads, and research teams in Birmingham-based organisations seeking to evaluate UX/UI designers through practical tasks, user testing, and collaborative exercises. It ensures alignment with local market expectations, regulatory considerations, and cultural nuances specific to the United Kingdom Birmingham region.</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UX/UI Designer’s ability to conduct user research and translate insights into design solutions.</w:t>
      </w:r>
    </w:p>
    <w:p>
      <w:pPr>
        <w:numPr>
          <w:ilvl w:val="0"/>
          <w:numId w:val="1001"/>
        </w:numPr>
        <w:pStyle w:val="Compact"/>
      </w:pPr>
      <w:r>
        <w:t xml:space="preserve">To evaluate the designer’s proficiency in creating user-centred interfaces that meet the needs of Birmingham’s diverse population.</w:t>
      </w:r>
    </w:p>
    <w:p>
      <w:pPr>
        <w:numPr>
          <w:ilvl w:val="0"/>
          <w:numId w:val="1001"/>
        </w:numPr>
        <w:pStyle w:val="Compact"/>
      </w:pPr>
      <w:r>
        <w:t xml:space="preserve">To measure the designer’s collaboration skills within multidisciplinary teams typical of Birmingham’s tech and creative industries.</w:t>
      </w:r>
    </w:p>
    <w:p>
      <w:pPr>
        <w:numPr>
          <w:ilvl w:val="0"/>
          <w:numId w:val="1001"/>
        </w:numPr>
        <w:pStyle w:val="Compact"/>
      </w:pPr>
      <w:r>
        <w:t xml:space="preserve">To determine the designer’s adherence to accessibility standards and UK regulatory requirements.</w:t>
      </w:r>
    </w:p>
    <w:p>
      <w:pPr>
        <w:numPr>
          <w:ilvl w:val="0"/>
          <w:numId w:val="1001"/>
        </w:numPr>
        <w:pStyle w:val="Compact"/>
      </w:pPr>
      <w:r>
        <w:t xml:space="preserve">To provide a structured basis for comparing candidates or team members using consistent criteria.</w:t>
      </w:r>
    </w:p>
    <w:bookmarkEnd w:id="21"/>
    <w:bookmarkStart w:id="22" w:name="scope-and-context"/>
    <w:p>
      <w:pPr>
        <w:pStyle w:val="Heading2"/>
      </w:pPr>
      <w:r>
        <w:t xml:space="preserve">3. Scope and Context</w:t>
      </w:r>
    </w:p>
    <w:p>
      <w:pPr>
        <w:pStyle w:val="FirstParagraph"/>
      </w:pPr>
      <w:r>
        <w:t xml:space="preserve">This protocol applies to UX/UI Designer roles within organisations operating in United Kingdom Birmingham. The experiments will simulate real-world design challenges relevant to local businesses, public services, and digital platforms serving Birmingham residents. Considerations include:</w:t>
      </w:r>
    </w:p>
    <w:p>
      <w:pPr>
        <w:numPr>
          <w:ilvl w:val="0"/>
          <w:numId w:val="1002"/>
        </w:numPr>
        <w:pStyle w:val="Compact"/>
      </w:pPr>
      <w:r>
        <w:t xml:space="preserve">Demographic diversity of Birmingham’s population.</w:t>
      </w:r>
    </w:p>
    <w:p>
      <w:pPr>
        <w:numPr>
          <w:ilvl w:val="0"/>
          <w:numId w:val="1002"/>
        </w:numPr>
        <w:pStyle w:val="Compact"/>
      </w:pPr>
      <w:r>
        <w:t xml:space="preserve">Local digital infrastructure and connectivity patterns.</w:t>
      </w:r>
    </w:p>
    <w:p>
      <w:pPr>
        <w:numPr>
          <w:ilvl w:val="0"/>
          <w:numId w:val="1002"/>
        </w:numPr>
        <w:pStyle w:val="Compact"/>
      </w:pPr>
      <w:r>
        <w:t xml:space="preserve">UK data protection laws (GDPR) and accessibility regulations (WCAG).</w:t>
      </w:r>
    </w:p>
    <w:p>
      <w:pPr>
        <w:numPr>
          <w:ilvl w:val="0"/>
          <w:numId w:val="1002"/>
        </w:numPr>
        <w:pStyle w:val="Compact"/>
      </w:pPr>
      <w:r>
        <w:t xml:space="preserve">Industry sectors prevalent in Birmingham, including fintech, healthtech, education, and retail.</w:t>
      </w:r>
    </w:p>
    <w:bookmarkEnd w:id="22"/>
    <w:bookmarkStart w:id="23" w:name="participants"/>
    <w:p>
      <w:pPr>
        <w:pStyle w:val="Heading2"/>
      </w:pPr>
      <w:r>
        <w:t xml:space="preserve">4. Participants</w:t>
      </w:r>
    </w:p>
    <w:p>
      <w:pPr>
        <w:pStyle w:val="FirstParagraph"/>
      </w:pPr>
      <w:r>
        <w:t xml:space="preserve">The experiment involves two types of participants:</w:t>
      </w:r>
    </w:p>
    <w:p>
      <w:pPr>
        <w:numPr>
          <w:ilvl w:val="0"/>
          <w:numId w:val="1003"/>
        </w:numPr>
        <w:pStyle w:val="Compact"/>
      </w:pPr>
      <w:r>
        <w:rPr>
          <w:bCs/>
          <w:b/>
        </w:rPr>
        <w:t xml:space="preserve">UX/UI Designer Candidates or Practitioners:</w:t>
      </w:r>
      <w:r>
        <w:t xml:space="preserve"> </w:t>
      </w:r>
      <w:r>
        <w:t xml:space="preserve">Individuals undergoing evaluation for their design skills, research abilities, and collaborative practices.</w:t>
      </w:r>
    </w:p>
    <w:p>
      <w:pPr>
        <w:numPr>
          <w:ilvl w:val="0"/>
          <w:numId w:val="1003"/>
        </w:numPr>
        <w:pStyle w:val="Compact"/>
      </w:pPr>
      <w:r>
        <w:rPr>
          <w:bCs/>
          <w:b/>
        </w:rPr>
        <w:t xml:space="preserve">End Users:</w:t>
      </w:r>
      <w:r>
        <w:t xml:space="preserve"> </w:t>
      </w:r>
      <w:r>
        <w:t xml:space="preserve">A representative sample of Birmingham residents who will participate in usability testing and provide feedback on design prototypes.</w:t>
      </w:r>
    </w:p>
    <w:p>
      <w:pPr>
        <w:pStyle w:val="FirstParagraph"/>
      </w:pPr>
      <w:r>
        <w:t xml:space="preserve">Recruitment of end users will ensure diversity in age, ethnicity, digital literacy, and accessibility needs to reflect Birmingham’s community accurately.</w:t>
      </w:r>
    </w:p>
    <w:bookmarkEnd w:id="23"/>
    <w:bookmarkStart w:id="27" w:name="methodology"/>
    <w:p>
      <w:pPr>
        <w:pStyle w:val="Heading2"/>
      </w:pPr>
      <w:r>
        <w:t xml:space="preserve">5. Methodology</w:t>
      </w:r>
    </w:p>
    <w:bookmarkStart w:id="24" w:name="task-design"/>
    <w:p>
      <w:pPr>
        <w:pStyle w:val="Heading3"/>
      </w:pPr>
      <w:r>
        <w:t xml:space="preserve">5.1 Task Design</w:t>
      </w:r>
    </w:p>
    <w:p>
      <w:pPr>
        <w:pStyle w:val="FirstParagraph"/>
      </w:pPr>
      <w:r>
        <w:t xml:space="preserve">Each UX/UI Designer will be assigned a design challenge relevant to a Birmingham-based service or product. Examples include:</w:t>
      </w:r>
    </w:p>
    <w:p>
      <w:pPr>
        <w:numPr>
          <w:ilvl w:val="0"/>
          <w:numId w:val="1004"/>
        </w:numPr>
        <w:pStyle w:val="Compact"/>
      </w:pPr>
      <w:r>
        <w:t xml:space="preserve">Designing a mobile app for local public transport navigation.</w:t>
      </w:r>
    </w:p>
    <w:p>
      <w:pPr>
        <w:numPr>
          <w:ilvl w:val="0"/>
          <w:numId w:val="1004"/>
        </w:numPr>
        <w:pStyle w:val="Compact"/>
      </w:pPr>
      <w:r>
        <w:t xml:space="preserve">Creating a website for a Birmingham community health service.</w:t>
      </w:r>
    </w:p>
    <w:p>
      <w:pPr>
        <w:numPr>
          <w:ilvl w:val="0"/>
          <w:numId w:val="1004"/>
        </w:numPr>
        <w:pStyle w:val="Compact"/>
      </w:pPr>
      <w:r>
        <w:t xml:space="preserve">Developing an e-commerce interface for a local retail business.</w:t>
      </w:r>
    </w:p>
    <w:p>
      <w:pPr>
        <w:pStyle w:val="FirstParagraph"/>
      </w:pPr>
      <w:r>
        <w:t xml:space="preserve">Tasks will require the designer to:</w:t>
      </w:r>
    </w:p>
    <w:p>
      <w:pPr>
        <w:numPr>
          <w:ilvl w:val="0"/>
          <w:numId w:val="1005"/>
        </w:numPr>
        <w:pStyle w:val="Compact"/>
      </w:pPr>
      <w:r>
        <w:t xml:space="preserve">Conduct brief user research (surveys, interviews, or persona development).</w:t>
      </w:r>
    </w:p>
    <w:p>
      <w:pPr>
        <w:numPr>
          <w:ilvl w:val="0"/>
          <w:numId w:val="1005"/>
        </w:numPr>
        <w:pStyle w:val="Compact"/>
      </w:pPr>
      <w:r>
        <w:t xml:space="preserve">Create wireframes and high-fidelity prototypes.</w:t>
      </w:r>
    </w:p>
    <w:p>
      <w:pPr>
        <w:numPr>
          <w:ilvl w:val="0"/>
          <w:numId w:val="1005"/>
        </w:numPr>
        <w:pStyle w:val="Compact"/>
      </w:pPr>
      <w:r>
        <w:t xml:space="preserve">Present design rationale and iterate based on feedback.</w:t>
      </w:r>
    </w:p>
    <w:bookmarkEnd w:id="24"/>
    <w:bookmarkStart w:id="25" w:name="user-testing"/>
    <w:p>
      <w:pPr>
        <w:pStyle w:val="Heading3"/>
      </w:pPr>
      <w:r>
        <w:t xml:space="preserve">5.2 User Testing</w:t>
      </w:r>
    </w:p>
    <w:p>
      <w:pPr>
        <w:pStyle w:val="FirstParagraph"/>
      </w:pPr>
      <w:r>
        <w:t xml:space="preserve">Prototypes developed by the UX/UI Designer will be tested with Birmingham-based end users. Testing will include:</w:t>
      </w:r>
    </w:p>
    <w:p>
      <w:pPr>
        <w:numPr>
          <w:ilvl w:val="0"/>
          <w:numId w:val="1006"/>
        </w:numPr>
        <w:pStyle w:val="Compact"/>
      </w:pPr>
      <w:r>
        <w:t xml:space="preserve">Task completion rates and time-on-task metrics.</w:t>
      </w:r>
    </w:p>
    <w:p>
      <w:pPr>
        <w:numPr>
          <w:ilvl w:val="0"/>
          <w:numId w:val="1006"/>
        </w:numPr>
        <w:pStyle w:val="Compact"/>
      </w:pPr>
      <w:r>
        <w:t xml:space="preserve">System Usability Scale (SUS) scores.</w:t>
      </w:r>
    </w:p>
    <w:p>
      <w:pPr>
        <w:numPr>
          <w:ilvl w:val="0"/>
          <w:numId w:val="1006"/>
        </w:numPr>
        <w:pStyle w:val="Compact"/>
      </w:pPr>
      <w:r>
        <w:t xml:space="preserve">Qualitative feedback on clarity, accessibility, and cultural relevance.</w:t>
      </w:r>
    </w:p>
    <w:bookmarkEnd w:id="25"/>
    <w:bookmarkStart w:id="26" w:name="collaboration-assessment"/>
    <w:p>
      <w:pPr>
        <w:pStyle w:val="Heading3"/>
      </w:pPr>
      <w:r>
        <w:t xml:space="preserve">5.3 Collaboration Assessment</w:t>
      </w:r>
    </w:p>
    <w:p>
      <w:pPr>
        <w:pStyle w:val="FirstParagraph"/>
      </w:pPr>
      <w:r>
        <w:t xml:space="preserve">The designer’s ability to work within a team will be evaluated through:</w:t>
      </w:r>
    </w:p>
    <w:p>
      <w:pPr>
        <w:numPr>
          <w:ilvl w:val="0"/>
          <w:numId w:val="1007"/>
        </w:numPr>
        <w:pStyle w:val="Compact"/>
      </w:pPr>
      <w:r>
        <w:t xml:space="preserve">Structured workshops with developers, product managers, and stakeholders.</w:t>
      </w:r>
    </w:p>
    <w:p>
      <w:pPr>
        <w:numPr>
          <w:ilvl w:val="0"/>
          <w:numId w:val="1007"/>
        </w:numPr>
        <w:pStyle w:val="Compact"/>
      </w:pPr>
      <w:r>
        <w:t xml:space="preserve">Documentation quality and clarity of design handoffs.</w:t>
      </w:r>
    </w:p>
    <w:p>
      <w:pPr>
        <w:numPr>
          <w:ilvl w:val="0"/>
          <w:numId w:val="1007"/>
        </w:numPr>
        <w:pStyle w:val="Compact"/>
      </w:pPr>
      <w:r>
        <w:t xml:space="preserve">Responsiveness to feedback and adaptability during the design process.</w:t>
      </w:r>
    </w:p>
    <w:bookmarkEnd w:id="26"/>
    <w:bookmarkEnd w:id="27"/>
    <w:bookmarkStart w:id="28" w:name="evaluation-criteria"/>
    <w:p>
      <w:pPr>
        <w:pStyle w:val="Heading2"/>
      </w:pPr>
      <w:r>
        <w:t xml:space="preserve">6. Evaluation Criteria</w:t>
      </w:r>
    </w:p>
    <w:p>
      <w:pPr>
        <w:pStyle w:val="FirstParagraph"/>
      </w:pPr>
      <w:r>
        <w:t xml:space="preserve">The UX/UI Designer’s performance will be assessed using the following criteria:</w:t>
      </w:r>
    </w:p>
    <w:p>
      <w:pPr>
        <w:numPr>
          <w:ilvl w:val="0"/>
          <w:numId w:val="1008"/>
        </w:numPr>
        <w:pStyle w:val="Compact"/>
      </w:pPr>
      <w:r>
        <w:rPr>
          <w:bCs/>
          <w:b/>
        </w:rPr>
        <w:t xml:space="preserve">User-Centred Design:</w:t>
      </w:r>
      <w:r>
        <w:t xml:space="preserve"> </w:t>
      </w:r>
      <w:r>
        <w:t xml:space="preserve">Evidence of user research, empathy, and alignment with user needs.</w:t>
      </w:r>
    </w:p>
    <w:p>
      <w:pPr>
        <w:numPr>
          <w:ilvl w:val="0"/>
          <w:numId w:val="1008"/>
        </w:numPr>
        <w:pStyle w:val="Compact"/>
      </w:pPr>
      <w:r>
        <w:rPr>
          <w:bCs/>
          <w:b/>
        </w:rPr>
        <w:t xml:space="preserve">Visual and Interaction Design:</w:t>
      </w:r>
      <w:r>
        <w:t xml:space="preserve"> </w:t>
      </w:r>
      <w:r>
        <w:t xml:space="preserve">Quality of aesthetics, consistency, and usability of interfaces.</w:t>
      </w:r>
    </w:p>
    <w:p>
      <w:pPr>
        <w:numPr>
          <w:ilvl w:val="0"/>
          <w:numId w:val="1008"/>
        </w:numPr>
        <w:pStyle w:val="Compact"/>
      </w:pPr>
      <w:r>
        <w:rPr>
          <w:bCs/>
          <w:b/>
        </w:rPr>
        <w:t xml:space="preserve">Accessibility and Compliance:</w:t>
      </w:r>
      <w:r>
        <w:t xml:space="preserve"> </w:t>
      </w:r>
      <w:r>
        <w:t xml:space="preserve">Adherence to WCAG guidelines and UK legal requirements.</w:t>
      </w:r>
    </w:p>
    <w:p>
      <w:pPr>
        <w:numPr>
          <w:ilvl w:val="0"/>
          <w:numId w:val="1008"/>
        </w:numPr>
        <w:pStyle w:val="Compact"/>
      </w:pPr>
      <w:r>
        <w:rPr>
          <w:bCs/>
          <w:b/>
        </w:rPr>
        <w:t xml:space="preserve">Problem-Solving:</w:t>
      </w:r>
      <w:r>
        <w:t xml:space="preserve"> </w:t>
      </w:r>
      <w:r>
        <w:t xml:space="preserve">Ability to identify issues and propose effective design solutions.</w:t>
      </w:r>
    </w:p>
    <w:p>
      <w:pPr>
        <w:numPr>
          <w:ilvl w:val="0"/>
          <w:numId w:val="1008"/>
        </w:numPr>
        <w:pStyle w:val="Compact"/>
      </w:pPr>
      <w:r>
        <w:rPr>
          <w:bCs/>
          <w:b/>
        </w:rPr>
        <w:t xml:space="preserve">Communication:</w:t>
      </w:r>
      <w:r>
        <w:t xml:space="preserve"> </w:t>
      </w:r>
      <w:r>
        <w:t xml:space="preserve">Clarity in presenting ideas and collaborating with stakeholders.</w:t>
      </w:r>
    </w:p>
    <w:p>
      <w:pPr>
        <w:numPr>
          <w:ilvl w:val="0"/>
          <w:numId w:val="1008"/>
        </w:numPr>
        <w:pStyle w:val="Compact"/>
      </w:pPr>
      <w:r>
        <w:rPr>
          <w:bCs/>
          <w:b/>
        </w:rPr>
        <w:t xml:space="preserve">Local Relevance:</w:t>
      </w:r>
      <w:r>
        <w:t xml:space="preserve"> </w:t>
      </w:r>
      <w:r>
        <w:t xml:space="preserve">Consideration of Birmingham’s cultural and demographic context in design decisions.</w:t>
      </w:r>
    </w:p>
    <w:bookmarkEnd w:id="28"/>
    <w:bookmarkStart w:id="29" w:name="ethical-considerations"/>
    <w:p>
      <w:pPr>
        <w:pStyle w:val="Heading2"/>
      </w:pPr>
      <w:r>
        <w:t xml:space="preserve">7. Ethical Considerations</w:t>
      </w:r>
    </w:p>
    <w:p>
      <w:pPr>
        <w:pStyle w:val="FirstParagraph"/>
      </w:pPr>
      <w:r>
        <w:t xml:space="preserve">All participants will provide informed consent before taking part in the experiment. Data collected will be anonymised and stored in compliance with UK GDPR regulations. Special attention will be given to:</w:t>
      </w:r>
    </w:p>
    <w:p>
      <w:pPr>
        <w:numPr>
          <w:ilvl w:val="0"/>
          <w:numId w:val="1009"/>
        </w:numPr>
        <w:pStyle w:val="Compact"/>
      </w:pPr>
      <w:r>
        <w:t xml:space="preserve">Protecting user privacy during research and testing.</w:t>
      </w:r>
    </w:p>
    <w:p>
      <w:pPr>
        <w:numPr>
          <w:ilvl w:val="0"/>
          <w:numId w:val="1009"/>
        </w:numPr>
        <w:pStyle w:val="Compact"/>
      </w:pPr>
      <w:r>
        <w:t xml:space="preserve">Ensuring inclusive participation across Birmingham’s diverse communities.</w:t>
      </w:r>
    </w:p>
    <w:p>
      <w:pPr>
        <w:numPr>
          <w:ilvl w:val="0"/>
          <w:numId w:val="1009"/>
        </w:numPr>
        <w:pStyle w:val="Compact"/>
      </w:pPr>
      <w:r>
        <w:t xml:space="preserve">Providing clear opt-out options for all participants.</w:t>
      </w:r>
    </w:p>
    <w:bookmarkEnd w:id="29"/>
    <w:bookmarkStart w:id="30" w:name="timeline-and-resources"/>
    <w:p>
      <w:pPr>
        <w:pStyle w:val="Heading2"/>
      </w:pPr>
      <w:r>
        <w:t xml:space="preserve">8. Timeline and Resources</w:t>
      </w:r>
    </w:p>
    <w:p>
      <w:pPr>
        <w:pStyle w:val="FirstParagraph"/>
      </w:pPr>
      <w:r>
        <w:t xml:space="preserve">The experiment will be conducted over a period of four weeks, including:</w:t>
      </w:r>
    </w:p>
    <w:p>
      <w:pPr>
        <w:numPr>
          <w:ilvl w:val="0"/>
          <w:numId w:val="1010"/>
        </w:numPr>
        <w:pStyle w:val="Compact"/>
      </w:pPr>
      <w:r>
        <w:t xml:space="preserve">Week 1: Briefing, research, and ideation.</w:t>
      </w:r>
    </w:p>
    <w:p>
      <w:pPr>
        <w:numPr>
          <w:ilvl w:val="0"/>
          <w:numId w:val="1010"/>
        </w:numPr>
        <w:pStyle w:val="Compact"/>
      </w:pPr>
      <w:r>
        <w:t xml:space="preserve">Week 2: Wireframing and prototyping.</w:t>
      </w:r>
    </w:p>
    <w:p>
      <w:pPr>
        <w:numPr>
          <w:ilvl w:val="0"/>
          <w:numId w:val="1010"/>
        </w:numPr>
        <w:pStyle w:val="Compact"/>
      </w:pPr>
      <w:r>
        <w:t xml:space="preserve">Week 3: User testing and feedback collection.</w:t>
      </w:r>
    </w:p>
    <w:p>
      <w:pPr>
        <w:numPr>
          <w:ilvl w:val="0"/>
          <w:numId w:val="1010"/>
        </w:numPr>
        <w:pStyle w:val="Compact"/>
      </w:pPr>
      <w:r>
        <w:t xml:space="preserve">Week 4: Iteration, presentation, and evaluation.</w:t>
      </w:r>
    </w:p>
    <w:p>
      <w:pPr>
        <w:pStyle w:val="FirstParagraph"/>
      </w:pPr>
      <w:r>
        <w:t xml:space="preserve">Required resources include design tools (e.g., Figma, Sketch), user testing platforms, and access to a representative sample of Birmingham-based participants.</w:t>
      </w:r>
    </w:p>
    <w:bookmarkEnd w:id="30"/>
    <w:bookmarkStart w:id="31" w:name="reporting-and-outcomes"/>
    <w:p>
      <w:pPr>
        <w:pStyle w:val="Heading2"/>
      </w:pPr>
      <w:r>
        <w:t xml:space="preserve">9. Reporting and Outcomes</w:t>
      </w:r>
    </w:p>
    <w:p>
      <w:pPr>
        <w:pStyle w:val="FirstParagraph"/>
      </w:pPr>
      <w:r>
        <w:t xml:space="preserve">At the conclusion of the experiment, a detailed report will be generated summarising:</w:t>
      </w:r>
    </w:p>
    <w:p>
      <w:pPr>
        <w:numPr>
          <w:ilvl w:val="0"/>
          <w:numId w:val="1011"/>
        </w:numPr>
        <w:pStyle w:val="Compact"/>
      </w:pPr>
      <w:r>
        <w:t xml:space="preserve">Designer performance against evaluation criteria.</w:t>
      </w:r>
    </w:p>
    <w:p>
      <w:pPr>
        <w:numPr>
          <w:ilvl w:val="0"/>
          <w:numId w:val="1011"/>
        </w:numPr>
        <w:pStyle w:val="Compact"/>
      </w:pPr>
      <w:r>
        <w:t xml:space="preserve">User testing results and key insights.</w:t>
      </w:r>
    </w:p>
    <w:p>
      <w:pPr>
        <w:numPr>
          <w:ilvl w:val="0"/>
          <w:numId w:val="1011"/>
        </w:numPr>
        <w:pStyle w:val="Compact"/>
      </w:pPr>
      <w:r>
        <w:t xml:space="preserve">Recommendations for hiring, training, or process improvement.</w:t>
      </w:r>
    </w:p>
    <w:p>
      <w:pPr>
        <w:pStyle w:val="FirstParagraph"/>
      </w:pPr>
      <w:r>
        <w:t xml:space="preserve">This report will serve as a reference for future UX/UI Designer evaluations within United Kingdom Birmingham and contribute to best practices in local design talent assessment.</w:t>
      </w:r>
    </w:p>
    <w:bookmarkEnd w:id="31"/>
    <w:bookmarkStart w:id="32" w:name="conclusion"/>
    <w:p>
      <w:pPr>
        <w:pStyle w:val="Heading2"/>
      </w:pPr>
      <w:r>
        <w:t xml:space="preserve">10. Conclusion</w:t>
      </w:r>
    </w:p>
    <w:p>
      <w:pPr>
        <w:pStyle w:val="FirstParagraph"/>
      </w:pPr>
      <w:r>
        <w:t xml:space="preserve">This Experiment Protocol provides a comprehensive, locally relevant framework for evaluating UX/UI Designers in United Kingdom Birmingham. By combining practical design tasks, user testing, and collaborative assessments, it ensures that designers are measured not only on technical skills but also on their ability to create inclusive, accessible, and culturally appropriate digital experiences for Birmingham’s diverse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United Kingdom Birmingham</dc:title>
  <dc:creator/>
  <dc:language>en</dc:language>
  <cp:keywords/>
  <dcterms:created xsi:type="dcterms:W3CDTF">2026-10-10T05:11:55Z</dcterms:created>
  <dcterms:modified xsi:type="dcterms:W3CDTF">2026-10-10T05:11:55Z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