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Videography</w:t>
      </w:r>
      <w:r>
        <w:t xml:space="preserve"> </w:t>
      </w:r>
      <w:r>
        <w:t xml:space="preserve">in</w:t>
      </w:r>
      <w:r>
        <w:t xml:space="preserve"> </w:t>
      </w:r>
      <w:r>
        <w:t xml:space="preserve">Germany</w:t>
      </w:r>
      <w:r>
        <w:t xml:space="preserve"> </w:t>
      </w:r>
      <w:r>
        <w:t xml:space="preserve">Berlin</w:t>
      </w:r>
    </w:p>
    <w:bookmarkStart w:id="20" w:name="X03cc1b6ae2cf734767683d7de988689ad54cf57"/>
    <w:p>
      <w:pPr>
        <w:pStyle w:val="Heading1"/>
      </w:pPr>
      <w:r>
        <w:t xml:space="preserve">Experiment Protocol: Urban Videography in Germany Berlin</w:t>
      </w:r>
    </w:p>
    <w:p>
      <w:pPr>
        <w:pStyle w:val="FirstParagraph"/>
      </w:pPr>
      <w:r>
        <w:t xml:space="preserve">Standard Operating Procedure for Professional Videographers Operating in the Federal Republic of Germany</w:t>
      </w:r>
    </w:p>
    <w:bookmarkEnd w:id="20"/>
    <w:p>
      <w:pPr>
        <w:pStyle w:val="BodyText"/>
      </w:pPr>
      <w:r>
        <w:rPr>
          <w:bCs/>
          <w:b/>
        </w:rPr>
        <w:t xml:space="preserve">Document ID:</w:t>
      </w:r>
      <w:r>
        <w:t xml:space="preserve"> </w:t>
      </w:r>
      <w:r>
        <w:t xml:space="preserve">EXP-VID-BER-2023-001</w:t>
      </w:r>
      <w:r>
        <w:br/>
      </w:r>
      <w:r>
        <w:rPr>
          <w:bCs/>
          <w:b/>
        </w:rPr>
        <w:t xml:space="preserve">Location:</w:t>
      </w:r>
      <w:r>
        <w:t xml:space="preserve"> </w:t>
      </w:r>
      <w:r>
        <w:t xml:space="preserve">Berlin, Germany</w:t>
      </w:r>
      <w:r>
        <w:br/>
      </w:r>
      <w:r>
        <w:rPr>
          <w:bCs/>
          <w:b/>
        </w:rPr>
        <w:t xml:space="preserve">Target Audience:</w:t>
      </w:r>
      <w:r>
        <w:t xml:space="preserve"> </w:t>
      </w:r>
      <w:r>
        <w:t xml:space="preserve">Professional Videographers, Cinematographers, Content Creators</w:t>
      </w:r>
      <w:r>
        <w:br/>
      </w:r>
      <w:r>
        <w:rPr>
          <w:bCs/>
          <w:b/>
        </w:rPr>
        <w:t xml:space="preserve">Regulatory Context:</w:t>
      </w:r>
      <w:r>
        <w:t xml:space="preserve"> </w:t>
      </w:r>
      <w:r>
        <w:t xml:space="preserve">German Civil Code (BGB), Copyright Act (UrhG), Berlin State Media Law</w:t>
      </w:r>
    </w:p>
    <w:bookmarkStart w:id="21" w:name="objective-and-scope"/>
    <w:p>
      <w:pPr>
        <w:pStyle w:val="Heading2"/>
      </w:pPr>
      <w:r>
        <w:t xml:space="preserve">1. Objective and Scope</w:t>
      </w:r>
    </w:p>
    <w:p>
      <w:pPr>
        <w:pStyle w:val="FirstParagraph"/>
      </w:pPr>
      <w:r>
        <w:t xml:space="preserve">This Experiment Protocol outlines the standardized procedures, legal considerations, and technical requirements for conducting videography experiments within the urban environment of Germany Berlin. The primary objective is to ensure that all visual data collection adheres strictly to German privacy laws while maintaining high artistic and technical standards. This protocol is designed for videographers aiming to capture footage in public spaces, commercial zones, and cultural landmarks across Berlin.</w:t>
      </w:r>
    </w:p>
    <w:bookmarkEnd w:id="21"/>
    <w:bookmarkStart w:id="24" w:name="legal-and-ethical-framework"/>
    <w:p>
      <w:pPr>
        <w:pStyle w:val="Heading2"/>
      </w:pPr>
      <w:r>
        <w:t xml:space="preserve">2. Legal and Ethical Framework</w:t>
      </w:r>
    </w:p>
    <w:p>
      <w:pPr>
        <w:pStyle w:val="FirstParagraph"/>
      </w:pPr>
      <w:r>
        <w:t xml:space="preserve">Operating as a videographer in Germany Berlin requires a deep understanding of local regulations. Unlike some other jurisdictions, Germany places a high premium on individual privacy rights.</w:t>
      </w:r>
    </w:p>
    <w:bookmarkStart w:id="22" w:name="X1d9e919409533b9e68d98bf64cba8618eeebdd1"/>
    <w:p>
      <w:pPr>
        <w:pStyle w:val="Heading3"/>
      </w:pPr>
      <w:r>
        <w:t xml:space="preserve">2.1. Right to One's Own Image (Recht am eigenen Bild)</w:t>
      </w:r>
    </w:p>
    <w:p>
      <w:pPr>
        <w:pStyle w:val="FirstParagraph"/>
      </w:pPr>
      <w:r>
        <w:t xml:space="preserve">Under the German Copyright Act (Kunsturhebergesetz - KUG), individuals have the right to control the reproduction and distribution of their image. For this experiment:</w:t>
      </w:r>
    </w:p>
    <w:p>
      <w:pPr>
        <w:numPr>
          <w:ilvl w:val="0"/>
          <w:numId w:val="1001"/>
        </w:numPr>
        <w:pStyle w:val="Compact"/>
      </w:pPr>
      <w:r>
        <w:rPr>
          <w:bCs/>
          <w:b/>
        </w:rPr>
        <w:t xml:space="preserve">Public Figures:</w:t>
      </w:r>
      <w:r>
        <w:t xml:space="preserve"> </w:t>
      </w:r>
      <w:r>
        <w:t xml:space="preserve">Footage of public figures in official capacities may be captured without consent, provided it does not violate their personal dignity.</w:t>
      </w:r>
    </w:p>
    <w:p>
      <w:pPr>
        <w:numPr>
          <w:ilvl w:val="0"/>
          <w:numId w:val="1001"/>
        </w:numPr>
        <w:pStyle w:val="Compact"/>
      </w:pPr>
      <w:r>
        <w:rPr>
          <w:bCs/>
          <w:b/>
        </w:rPr>
        <w:t xml:space="preserve">Private Individuals:</w:t>
      </w:r>
      <w:r>
        <w:t xml:space="preserve"> </w:t>
      </w:r>
      <w:r>
        <w:t xml:space="preserve">Explicit written consent is required if individuals are the main subject of the video. If they appear as incidental background figures in a crowd, consent is generally not required, but care must be taken to avoid close-ups that identify them.</w:t>
      </w:r>
    </w:p>
    <w:bookmarkEnd w:id="22"/>
    <w:bookmarkStart w:id="23" w:name="property-and-filming-permits"/>
    <w:p>
      <w:pPr>
        <w:pStyle w:val="Heading3"/>
      </w:pPr>
      <w:r>
        <w:t xml:space="preserve">2.2. Property and Filming Permits</w:t>
      </w:r>
    </w:p>
    <w:p>
      <w:pPr>
        <w:pStyle w:val="FirstParagraph"/>
      </w:pPr>
      <w:r>
        <w:t xml:space="preserve">Berlin is a city-state with specific regulations regarding filming on public property. The</w:t>
      </w:r>
      <w:r>
        <w:t xml:space="preserve"> </w:t>
      </w:r>
      <w:r>
        <w:rPr>
          <w:iCs/>
          <w:i/>
        </w:rPr>
        <w:t xml:space="preserve">Senatsverwaltung für Stadtentwicklung und Wohnen</w:t>
      </w:r>
      <w:r>
        <w:t xml:space="preserve"> </w:t>
      </w:r>
      <w:r>
        <w:t xml:space="preserve">(Senate Department for Urban Development and Housing) manages permits for filming on streets, squares, and public buildings.</w:t>
      </w:r>
    </w:p>
    <w:p>
      <w:pPr>
        <w:numPr>
          <w:ilvl w:val="0"/>
          <w:numId w:val="1002"/>
        </w:numPr>
        <w:pStyle w:val="Compact"/>
      </w:pPr>
      <w:r>
        <w:rPr>
          <w:bCs/>
          <w:b/>
        </w:rPr>
        <w:t xml:space="preserve">Handheld vs. Tripod:</w:t>
      </w:r>
      <w:r>
        <w:t xml:space="preserve"> </w:t>
      </w:r>
      <w:r>
        <w:t xml:space="preserve">Handheld videography is often tolerated as "journalistic" or "artistic" activity. However, the use of tripods, dollies, or lighting rigs typically requires a formal permit.</w:t>
      </w:r>
    </w:p>
    <w:p>
      <w:pPr>
        <w:numPr>
          <w:ilvl w:val="0"/>
          <w:numId w:val="1002"/>
        </w:numPr>
        <w:pStyle w:val="Compact"/>
      </w:pPr>
      <w:r>
        <w:rPr>
          <w:bCs/>
          <w:b/>
        </w:rPr>
        <w:t xml:space="preserve">Commercial Use:</w:t>
      </w:r>
      <w:r>
        <w:t xml:space="preserve"> </w:t>
      </w:r>
      <w:r>
        <w:t xml:space="preserve">If the footage is intended for commercial advertising, a permit is almost always mandatory, regardless of equipment.</w:t>
      </w:r>
    </w:p>
    <w:bookmarkEnd w:id="23"/>
    <w:bookmarkEnd w:id="24"/>
    <w:bookmarkStart w:id="27" w:name="experimental-design"/>
    <w:p>
      <w:pPr>
        <w:pStyle w:val="Heading2"/>
      </w:pPr>
      <w:r>
        <w:t xml:space="preserve">3. Experimental Design</w:t>
      </w:r>
    </w:p>
    <w:p>
      <w:pPr>
        <w:pStyle w:val="FirstParagraph"/>
      </w:pPr>
      <w:r>
        <w:t xml:space="preserve">The experiment will focus on capturing the dynamic urban landscape of Berlin, emphasizing the contrast between historical architecture and modern street culture.</w:t>
      </w:r>
    </w:p>
    <w:bookmarkStart w:id="25" w:name="locations"/>
    <w:p>
      <w:pPr>
        <w:pStyle w:val="Heading3"/>
      </w:pPr>
      <w:r>
        <w:t xml:space="preserve">3.1. Locations</w:t>
      </w:r>
    </w:p>
    <w:p>
      <w:pPr>
        <w:pStyle w:val="FirstParagraph"/>
      </w:pPr>
      <w:r>
        <w:t xml:space="preserve">The following areas in Germany Berlin have been selected for data collection:</w:t>
      </w:r>
    </w:p>
    <w:p>
      <w:pPr>
        <w:numPr>
          <w:ilvl w:val="0"/>
          <w:numId w:val="1003"/>
        </w:numPr>
        <w:pStyle w:val="Compact"/>
      </w:pPr>
      <w:r>
        <w:rPr>
          <w:bCs/>
          <w:b/>
        </w:rPr>
        <w:t xml:space="preserve">Mitte:</w:t>
      </w:r>
      <w:r>
        <w:t xml:space="preserve"> </w:t>
      </w:r>
      <w:r>
        <w:t xml:space="preserve">Focus on government buildings and historical sites (e.g., Brandenburg Gate, Reichstag).</w:t>
      </w:r>
    </w:p>
    <w:p>
      <w:pPr>
        <w:numPr>
          <w:ilvl w:val="0"/>
          <w:numId w:val="1003"/>
        </w:numPr>
        <w:pStyle w:val="Compact"/>
      </w:pPr>
      <w:r>
        <w:rPr>
          <w:bCs/>
          <w:b/>
        </w:rPr>
        <w:t xml:space="preserve">Kreuzberg:</w:t>
      </w:r>
      <w:r>
        <w:t xml:space="preserve"> </w:t>
      </w:r>
      <w:r>
        <w:t xml:space="preserve">Focus on street art, nightlife, and diverse demographics.</w:t>
      </w:r>
    </w:p>
    <w:p>
      <w:pPr>
        <w:numPr>
          <w:ilvl w:val="0"/>
          <w:numId w:val="1003"/>
        </w:numPr>
        <w:pStyle w:val="Compact"/>
      </w:pPr>
      <w:r>
        <w:rPr>
          <w:bCs/>
          <w:b/>
        </w:rPr>
        <w:t xml:space="preserve">Prenzlauer Berg:</w:t>
      </w:r>
      <w:r>
        <w:t xml:space="preserve"> </w:t>
      </w:r>
      <w:r>
        <w:t xml:space="preserve">Focus on residential life and family-oriented public spaces.</w:t>
      </w:r>
    </w:p>
    <w:bookmarkEnd w:id="25"/>
    <w:bookmarkStart w:id="26" w:name="equipment-specifications"/>
    <w:p>
      <w:pPr>
        <w:pStyle w:val="Heading3"/>
      </w:pPr>
      <w:r>
        <w:t xml:space="preserve">3.2. Equipment Specifications</w:t>
      </w:r>
    </w:p>
    <w:p>
      <w:pPr>
        <w:pStyle w:val="FirstParagraph"/>
      </w:pPr>
      <w:r>
        <w:t xml:space="preserve">To ensure high-quality data while minimizing intrusion, the following equipment is authorized: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Camera</w:t>
            </w:r>
          </w:p>
        </w:tc>
        <w:tc>
          <w:tcPr/>
          <w:p>
            <w:pPr>
              <w:pStyle w:val="Compact"/>
              <w:jc w:val="left"/>
            </w:pPr>
            <w:r>
              <w:t xml:space="preserve">4K Mirrorless or Cinema Camera</w:t>
            </w:r>
          </w:p>
        </w:tc>
        <w:tc>
          <w:tcPr/>
          <w:p>
            <w:pPr>
              <w:pStyle w:val="Compact"/>
              <w:jc w:val="left"/>
            </w:pPr>
            <w:r>
              <w:t xml:space="preserve">High-resolution capture</w:t>
            </w:r>
          </w:p>
        </w:tc>
      </w:tr>
      <w:tr>
        <w:tc>
          <w:tcPr/>
          <w:p>
            <w:pPr>
              <w:pStyle w:val="Compact"/>
              <w:jc w:val="left"/>
            </w:pPr>
            <w:r>
              <w:t xml:space="preserve">Lenses</w:t>
            </w:r>
          </w:p>
        </w:tc>
        <w:tc>
          <w:tcPr/>
          <w:p>
            <w:pPr>
              <w:pStyle w:val="Compact"/>
              <w:jc w:val="left"/>
            </w:pPr>
            <w:r>
              <w:t xml:space="preserve">24-70mm f/2.8, 70-200mm f/2.8</w:t>
            </w:r>
          </w:p>
        </w:tc>
        <w:tc>
          <w:tcPr/>
          <w:p>
            <w:pPr>
              <w:pStyle w:val="Compact"/>
              <w:jc w:val="left"/>
            </w:pPr>
            <w:r>
              <w:t xml:space="preserve">Versatile framing and distance shooting</w:t>
            </w:r>
          </w:p>
        </w:tc>
      </w:tr>
      <w:tr>
        <w:tc>
          <w:tcPr/>
          <w:p>
            <w:pPr>
              <w:pStyle w:val="Compact"/>
              <w:jc w:val="left"/>
            </w:pPr>
            <w:r>
              <w:t xml:space="preserve">Audio</w:t>
            </w:r>
          </w:p>
        </w:tc>
        <w:tc>
          <w:tcPr/>
          <w:p>
            <w:pPr>
              <w:pStyle w:val="Compact"/>
              <w:jc w:val="left"/>
            </w:pPr>
            <w:r>
              <w:t xml:space="preserve">Lavalier Microphones with Wind Protection</w:t>
            </w:r>
          </w:p>
        </w:tc>
        <w:tc>
          <w:tcPr/>
          <w:p>
            <w:pPr>
              <w:pStyle w:val="Compact"/>
              <w:jc w:val="left"/>
            </w:pPr>
            <w:r>
              <w:t xml:space="preserve">Clear dialogue capture in urban noise</w:t>
            </w:r>
          </w:p>
        </w:tc>
      </w:tr>
      <w:tr>
        <w:tc>
          <w:tcPr/>
          <w:p>
            <w:pPr>
              <w:pStyle w:val="Compact"/>
              <w:jc w:val="left"/>
            </w:pPr>
            <w:r>
              <w:t xml:space="preserve">Support</w:t>
            </w:r>
          </w:p>
        </w:tc>
        <w:tc>
          <w:tcPr/>
          <w:p>
            <w:pPr>
              <w:pStyle w:val="Compact"/>
              <w:jc w:val="left"/>
            </w:pPr>
            <w:r>
              <w:t xml:space="preserve">Compact Gimbal Stabilizer</w:t>
            </w:r>
          </w:p>
        </w:tc>
        <w:tc>
          <w:tcPr/>
          <w:p>
            <w:pPr>
              <w:pStyle w:val="Compact"/>
              <w:jc w:val="left"/>
            </w:pPr>
            <w:r>
              <w:t xml:space="preserve">Smooth motion without large tripods</w:t>
            </w:r>
          </w:p>
        </w:tc>
      </w:tr>
    </w:tbl>
    <w:bookmarkEnd w:id="26"/>
    <w:bookmarkEnd w:id="27"/>
    <w:bookmarkStart w:id="31" w:name="procedure"/>
    <w:p>
      <w:pPr>
        <w:pStyle w:val="Heading2"/>
      </w:pPr>
      <w:r>
        <w:t xml:space="preserve">4. Procedure</w:t>
      </w:r>
    </w:p>
    <w:bookmarkStart w:id="28" w:name="pre-production-phase"/>
    <w:p>
      <w:pPr>
        <w:pStyle w:val="Heading3"/>
      </w:pPr>
      <w:r>
        <w:t xml:space="preserve">4.1. Pre-Production Phase</w:t>
      </w:r>
    </w:p>
    <w:p>
      <w:pPr>
        <w:numPr>
          <w:ilvl w:val="0"/>
          <w:numId w:val="1004"/>
        </w:numPr>
        <w:pStyle w:val="Compact"/>
      </w:pPr>
      <w:r>
        <w:rPr>
          <w:bCs/>
          <w:b/>
        </w:rPr>
        <w:t xml:space="preserve">Permit Application:</w:t>
      </w:r>
      <w:r>
        <w:t xml:space="preserve"> </w:t>
      </w:r>
      <w:r>
        <w:t xml:space="preserve">Submit applications to the Berlin Film Office at least 14 days prior to the experiment if using tripods or blocking public pathways.</w:t>
      </w:r>
    </w:p>
    <w:p>
      <w:pPr>
        <w:numPr>
          <w:ilvl w:val="0"/>
          <w:numId w:val="1004"/>
        </w:numPr>
        <w:pStyle w:val="Compact"/>
      </w:pPr>
      <w:r>
        <w:rPr>
          <w:bCs/>
          <w:b/>
        </w:rPr>
        <w:t xml:space="preserve">Consent Forms:</w:t>
      </w:r>
      <w:r>
        <w:t xml:space="preserve"> </w:t>
      </w:r>
      <w:r>
        <w:t xml:space="preserve">Prepare bilingual (German/English) consent forms for any interview subjects or featured individuals.</w:t>
      </w:r>
    </w:p>
    <w:p>
      <w:pPr>
        <w:numPr>
          <w:ilvl w:val="0"/>
          <w:numId w:val="1004"/>
        </w:numPr>
        <w:pStyle w:val="Compact"/>
      </w:pPr>
      <w:r>
        <w:rPr>
          <w:bCs/>
          <w:b/>
        </w:rPr>
        <w:t xml:space="preserve">Scouting:</w:t>
      </w:r>
      <w:r>
        <w:t xml:space="preserve"> </w:t>
      </w:r>
      <w:r>
        <w:t xml:space="preserve">Conduct a preliminary site visit to identify potential privacy risks and optimal lighting conditions.</w:t>
      </w:r>
    </w:p>
    <w:bookmarkEnd w:id="28"/>
    <w:bookmarkStart w:id="29" w:name="data-collection-phase"/>
    <w:p>
      <w:pPr>
        <w:pStyle w:val="Heading3"/>
      </w:pPr>
      <w:r>
        <w:t xml:space="preserve">4.2. Data Collection Phase</w:t>
      </w:r>
    </w:p>
    <w:p>
      <w:pPr>
        <w:numPr>
          <w:ilvl w:val="0"/>
          <w:numId w:val="1005"/>
        </w:numPr>
        <w:pStyle w:val="Compact"/>
      </w:pPr>
      <w:r>
        <w:rPr>
          <w:bCs/>
          <w:b/>
        </w:rPr>
        <w:t xml:space="preserve">Time Windows:</w:t>
      </w:r>
      <w:r>
        <w:t xml:space="preserve"> </w:t>
      </w:r>
      <w:r>
        <w:t xml:space="preserve">Filming will occur between 08:00 and 20:00 to respect residential quiet hours (Ruhezeit), which are strictly enforced in Germany.</w:t>
      </w:r>
    </w:p>
    <w:p>
      <w:pPr>
        <w:numPr>
          <w:ilvl w:val="0"/>
          <w:numId w:val="1005"/>
        </w:numPr>
        <w:pStyle w:val="Compact"/>
      </w:pPr>
      <w:r>
        <w:rPr>
          <w:bCs/>
          <w:b/>
        </w:rPr>
        <w:t xml:space="preserve">Interaction Protocol:</w:t>
      </w:r>
      <w:r>
        <w:t xml:space="preserve"> </w:t>
      </w:r>
      <w:r>
        <w:t xml:space="preserve">The videographer must introduce themselves if approached. If filming a specific individual, a clear verbal request for permission must be made before recording begins.</w:t>
      </w:r>
    </w:p>
    <w:p>
      <w:pPr>
        <w:numPr>
          <w:ilvl w:val="0"/>
          <w:numId w:val="1005"/>
        </w:numPr>
        <w:pStyle w:val="Compact"/>
      </w:pPr>
      <w:r>
        <w:rPr>
          <w:bCs/>
          <w:b/>
        </w:rPr>
        <w:t xml:space="preserve">Privacy Shielding:</w:t>
      </w:r>
      <w:r>
        <w:t xml:space="preserve"> </w:t>
      </w:r>
      <w:r>
        <w:t xml:space="preserve">Use lens hoods and strategic angles to minimize the capture of license plates and house numbers unless specifically required for the narrative.</w:t>
      </w:r>
    </w:p>
    <w:bookmarkEnd w:id="29"/>
    <w:bookmarkStart w:id="30" w:name="post-production-phase"/>
    <w:p>
      <w:pPr>
        <w:pStyle w:val="Heading3"/>
      </w:pPr>
      <w:r>
        <w:t xml:space="preserve">4.3. Post-Production Phase</w:t>
      </w:r>
    </w:p>
    <w:p>
      <w:pPr>
        <w:numPr>
          <w:ilvl w:val="0"/>
          <w:numId w:val="1006"/>
        </w:numPr>
        <w:pStyle w:val="Compact"/>
      </w:pPr>
      <w:r>
        <w:rPr>
          <w:bCs/>
          <w:b/>
        </w:rPr>
        <w:t xml:space="preserve">Review:</w:t>
      </w:r>
      <w:r>
        <w:t xml:space="preserve"> </w:t>
      </w:r>
      <w:r>
        <w:t xml:space="preserve">All footage must be reviewed for accidental inclusion of identifiable private individuals who did not provide consent.</w:t>
      </w:r>
    </w:p>
    <w:p>
      <w:pPr>
        <w:numPr>
          <w:ilvl w:val="0"/>
          <w:numId w:val="1006"/>
        </w:numPr>
        <w:pStyle w:val="Compact"/>
      </w:pPr>
      <w:r>
        <w:rPr>
          <w:bCs/>
          <w:b/>
        </w:rPr>
        <w:t xml:space="preserve">Blurring:</w:t>
      </w:r>
      <w:r>
        <w:t xml:space="preserve"> </w:t>
      </w:r>
      <w:r>
        <w:t xml:space="preserve">Apply digital blurring to faces and license plates of non-consenting individuals.</w:t>
      </w:r>
    </w:p>
    <w:p>
      <w:pPr>
        <w:numPr>
          <w:ilvl w:val="0"/>
          <w:numId w:val="1006"/>
        </w:numPr>
        <w:pStyle w:val="Compact"/>
      </w:pPr>
      <w:r>
        <w:rPr>
          <w:bCs/>
          <w:b/>
        </w:rPr>
        <w:t xml:space="preserve">Storage:</w:t>
      </w:r>
      <w:r>
        <w:t xml:space="preserve"> </w:t>
      </w:r>
      <w:r>
        <w:t xml:space="preserve">Store raw footage on encrypted drives in compliance with GDPR (General Data Protection Regulation).</w:t>
      </w:r>
    </w:p>
    <w:bookmarkEnd w:id="30"/>
    <w:bookmarkEnd w:id="31"/>
    <w:bookmarkStart w:id="32" w:name="risk-management"/>
    <w:p>
      <w:pPr>
        <w:pStyle w:val="Heading2"/>
      </w:pPr>
      <w:r>
        <w:t xml:space="preserve">5. Risk Management</w:t>
      </w:r>
    </w:p>
    <w:p>
      <w:pPr>
        <w:pStyle w:val="FirstParagraph"/>
      </w:pPr>
      <w:r>
        <w:rPr>
          <w:bCs/>
          <w:b/>
        </w:rPr>
        <w:t xml:space="preserve">Important:</w:t>
      </w:r>
      <w:r>
        <w:t xml:space="preserve"> </w:t>
      </w:r>
      <w:r>
        <w:t xml:space="preserve">Failure to comply with German privacy laws can result in significant fines and legal action. The videographer is responsible for ensuring all activities remain within legal boundaries.</w:t>
      </w:r>
    </w:p>
    <w:p>
      <w:pPr>
        <w:numPr>
          <w:ilvl w:val="0"/>
          <w:numId w:val="1007"/>
        </w:numPr>
        <w:pStyle w:val="Compact"/>
      </w:pPr>
      <w:r>
        <w:rPr>
          <w:bCs/>
          <w:b/>
        </w:rPr>
        <w:t xml:space="preserve">Legal Risk:</w:t>
      </w:r>
      <w:r>
        <w:t xml:space="preserve"> </w:t>
      </w:r>
      <w:r>
        <w:t xml:space="preserve">Mitigated by obtaining necessary permits and consent forms.</w:t>
      </w:r>
    </w:p>
    <w:p>
      <w:pPr>
        <w:numPr>
          <w:ilvl w:val="0"/>
          <w:numId w:val="1007"/>
        </w:numPr>
        <w:pStyle w:val="Compact"/>
      </w:pPr>
      <w:r>
        <w:rPr>
          <w:bCs/>
          <w:b/>
        </w:rPr>
        <w:t xml:space="preserve">Public Reaction:</w:t>
      </w:r>
      <w:r>
        <w:t xml:space="preserve"> </w:t>
      </w:r>
      <w:r>
        <w:t xml:space="preserve">Mitigated by maintaining a professional demeanor and being transparent about the purpose of the filming.</w:t>
      </w:r>
    </w:p>
    <w:p>
      <w:pPr>
        <w:numPr>
          <w:ilvl w:val="0"/>
          <w:numId w:val="1007"/>
        </w:numPr>
        <w:pStyle w:val="Compact"/>
      </w:pPr>
      <w:r>
        <w:rPr>
          <w:bCs/>
          <w:b/>
        </w:rPr>
        <w:t xml:space="preserve">Equipment Theft:</w:t>
      </w:r>
      <w:r>
        <w:t xml:space="preserve"> </w:t>
      </w:r>
      <w:r>
        <w:t xml:space="preserve">Mitigated by using secure bags and keeping equipment within sight at all times.</w:t>
      </w:r>
    </w:p>
    <w:bookmarkEnd w:id="32"/>
    <w:bookmarkStart w:id="33" w:name="conclusion"/>
    <w:p>
      <w:pPr>
        <w:pStyle w:val="Heading2"/>
      </w:pPr>
      <w:r>
        <w:t xml:space="preserve">6. Conclusion</w:t>
      </w:r>
    </w:p>
    <w:p>
      <w:pPr>
        <w:pStyle w:val="FirstParagraph"/>
      </w:pPr>
      <w:r>
        <w:t xml:space="preserve">This Experiment Protocol provides a comprehensive framework for videographers operating in Germany Berlin. By adhering to these guidelines, professionals can capture compelling visual narratives while respecting the legal and cultural norms of the region. The emphasis on privacy, permit compliance, and ethical data handling ensures that the experiment contributes positively to the understanding of Berlin's urban environment.</w:t>
      </w:r>
    </w:p>
    <w:p>
      <w:pPr>
        <w:pStyle w:val="BodyText"/>
      </w:pPr>
      <w:r>
        <w:t xml:space="preserve">© 2023 Experiment Protocol Series. All rights reserved. This document is for informational purposes and does not constitute legal advice.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Videography in Germany Berlin</dc:title>
  <dc:creator/>
  <dc:language>en</dc:language>
  <cp:keywords/>
  <dcterms:created xsi:type="dcterms:W3CDTF">2026-10-10T02:25:37Z</dcterms:created>
  <dcterms:modified xsi:type="dcterms:W3CDTF">2026-10-10T02:25:37Z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