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Australia</w:t>
      </w:r>
      <w:r>
        <w:t xml:space="preserve"> </w:t>
      </w:r>
      <w:r>
        <w:t xml:space="preserve">Melbourne</w:t>
      </w:r>
    </w:p>
    <w:bookmarkStart w:id="32" w:name="X46e6ce6dfc254e2888a00e6692e44b35d0cd954"/>
    <w:p>
      <w:pPr>
        <w:pStyle w:val="Heading1"/>
      </w:pPr>
      <w:r>
        <w:t xml:space="preserve">Experiment Protocol: Assessing Web Designer Performance and User Engagement in Australia Melbourne</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Web Designer practices within the specific context of Australia Melbourne. Melbourne is recognized globally as a hub for digital innovation, creative industries, and tech startups. The local market demands high standards of user experience (UX), accessibility, and aesthetic appeal. This experiment aims to determine how specific design interventions by professional Web Designers impact user engagement, conversion rates, and accessibility compliance among Melbourne-based users.</w:t>
      </w:r>
    </w:p>
    <w:p>
      <w:pPr>
        <w:pStyle w:val="BodyText"/>
      </w:pPr>
      <w:r>
        <w:t xml:space="preserve">The study focuses on the intersection of technical design principles and local user behavior. By isolating variables related to layout, color theory, navigation structure, and content hierarchy, we can quantify the impact of a Web Designer's decisions on real-world metrics.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responsive design adaptations on mobile usage rates among Australia Melbourne residents.</w:t>
      </w:r>
    </w:p>
    <w:p>
      <w:pPr>
        <w:numPr>
          <w:ilvl w:val="0"/>
          <w:numId w:val="1001"/>
        </w:numPr>
        <w:pStyle w:val="Compact"/>
      </w:pPr>
      <w:r>
        <w:t xml:space="preserve">To evaluate the effectiveness of localized content strategies implemented by Web Designers in increasing user trust and engagement.</w:t>
      </w:r>
    </w:p>
    <w:p>
      <w:pPr>
        <w:numPr>
          <w:ilvl w:val="0"/>
          <w:numId w:val="1001"/>
        </w:numPr>
        <w:pStyle w:val="Compact"/>
      </w:pPr>
      <w:r>
        <w:t xml:space="preserve">To assess compliance with Australian accessibility standards (WCAG 2.1) and its correlation with user satisfaction scores.</w:t>
      </w:r>
    </w:p>
    <w:p>
      <w:pPr>
        <w:numPr>
          <w:ilvl w:val="0"/>
          <w:numId w:val="1001"/>
        </w:numPr>
        <w:pStyle w:val="Compact"/>
      </w:pPr>
      <w:r>
        <w:t xml:space="preserve">To determine the optimal load times for web pages hosted on Australian servers to minimize bounce rates.</w:t>
      </w:r>
    </w:p>
    <w:bookmarkEnd w:id="21"/>
    <w:bookmarkStart w:id="22" w:name="hypothesis"/>
    <w:p>
      <w:pPr>
        <w:pStyle w:val="Heading2"/>
      </w:pPr>
      <w:r>
        <w:t xml:space="preserve">3. Hypothesis</w:t>
      </w:r>
    </w:p>
    <w:p>
      <w:pPr>
        <w:pStyle w:val="FirstParagraph"/>
      </w:pPr>
      <w:r>
        <w:t xml:space="preserve">We hypothesize that Web Designer interventions focusing on mobile-first design, localized imagery, and strict adherence to accessibility guidelines will result in a statistically significant increase in user engagement and conversion rates for websites targeting the Australia Melbourne demographic. Furthermore, we expect that faster load times achieved through optimized asset delivery will reduce bounce rates by at least 15%.</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study will recruit 500 participants residing in Australia Melbourne. Participants will be selected to represent a diverse demographic, including age groups ranging from 18 to 65, various income levels, and different levels of digital literacy. Recruitment will be conducted through local community centers, universities, and digital advertising platforms targeting the Melbourne metropolitan area.</w:t>
      </w:r>
    </w:p>
    <w:bookmarkEnd w:id="23"/>
    <w:bookmarkStart w:id="24" w:name="materials"/>
    <w:p>
      <w:pPr>
        <w:pStyle w:val="Heading3"/>
      </w:pPr>
      <w:r>
        <w:t xml:space="preserve">4.2 Materials</w:t>
      </w:r>
    </w:p>
    <w:p>
      <w:pPr>
        <w:pStyle w:val="FirstParagraph"/>
      </w:pPr>
      <w:r>
        <w:t xml:space="preserve">Two versions of a fictional e-commerce website will be created by a team of experienced Web Designers.</w:t>
      </w:r>
    </w:p>
    <w:p>
      <w:pPr>
        <w:numPr>
          <w:ilvl w:val="0"/>
          <w:numId w:val="1002"/>
        </w:numPr>
        <w:pStyle w:val="Compact"/>
      </w:pPr>
      <w:r>
        <w:rPr>
          <w:bCs/>
          <w:b/>
        </w:rPr>
        <w:t xml:space="preserve">Control Group Site:</w:t>
      </w:r>
      <w:r>
        <w:t xml:space="preserve"> </w:t>
      </w:r>
      <w:r>
        <w:t xml:space="preserve">A standard design with generic imagery, basic responsive layout, and standard load times.</w:t>
      </w:r>
    </w:p>
    <w:p>
      <w:pPr>
        <w:numPr>
          <w:ilvl w:val="0"/>
          <w:numId w:val="1002"/>
        </w:numPr>
        <w:pStyle w:val="Compact"/>
      </w:pPr>
      <w:r>
        <w:rPr>
          <w:bCs/>
          <w:b/>
        </w:rPr>
        <w:t xml:space="preserve">Experimental Group Site:</w:t>
      </w:r>
      <w:r>
        <w:t xml:space="preserve"> </w:t>
      </w:r>
      <w:r>
        <w:t xml:space="preserve">A design optimized for the Australia Melbourne market, featuring localized content, advanced responsive techniques, accessibility enhancements, and optimized performance.</w:t>
      </w:r>
    </w:p>
    <w:bookmarkEnd w:id="24"/>
    <w:bookmarkStart w:id="25" w:name="procedure"/>
    <w:p>
      <w:pPr>
        <w:pStyle w:val="Heading3"/>
      </w:pPr>
      <w:r>
        <w:t xml:space="preserve">4.3 Procedure</w:t>
      </w:r>
    </w:p>
    <w:p>
      <w:pPr>
        <w:pStyle w:val="FirstParagraph"/>
      </w:pPr>
      <w:r>
        <w:t xml:space="preserve">Participants will be randomly assigned to either the Control Group or the Experimental Group. Each participant will be asked to complete a series of tasks on the assigned website, such as finding a product, adding it to the cart, and completing a checkout simulation. The tasks will be timed, and participants will be asked to provide feedback on their experience using a standardized questionnaire.</w:t>
      </w:r>
    </w:p>
    <w:p>
      <w:pPr>
        <w:pStyle w:val="BodyText"/>
      </w:pPr>
      <w:r>
        <w:t xml:space="preserve">The experiment will be conducted over a period of four weeks. Data will be collected using analytics tools embedded in the websites, as well as through post-task surveys.</w:t>
      </w:r>
    </w:p>
    <w:bookmarkEnd w:id="25"/>
    <w:bookmarkEnd w:id="26"/>
    <w:bookmarkStart w:id="27" w:name="variables"/>
    <w:p>
      <w:pPr>
        <w:pStyle w:val="Heading2"/>
      </w:pPr>
      <w:r>
        <w:t xml:space="preserve">5. Variables</w:t>
      </w:r>
    </w:p>
    <w:p>
      <w:pPr>
        <w:numPr>
          <w:ilvl w:val="0"/>
          <w:numId w:val="1003"/>
        </w:numPr>
        <w:pStyle w:val="Compact"/>
      </w:pPr>
      <w:r>
        <w:rPr>
          <w:bCs/>
          <w:b/>
        </w:rPr>
        <w:t xml:space="preserve">Independent Variables:</w:t>
      </w:r>
      <w:r>
        <w:t xml:space="preserve"> </w:t>
      </w:r>
      <w:r>
        <w:t xml:space="preserve">Design elements manipulated by the Web Designer, including layout, color scheme, navigation structure, content localization, and performance optimization.</w:t>
      </w:r>
    </w:p>
    <w:p>
      <w:pPr>
        <w:numPr>
          <w:ilvl w:val="0"/>
          <w:numId w:val="1003"/>
        </w:numPr>
        <w:pStyle w:val="Compact"/>
      </w:pPr>
      <w:r>
        <w:rPr>
          <w:bCs/>
          <w:b/>
        </w:rPr>
        <w:t xml:space="preserve">Dependent Variables:</w:t>
      </w:r>
      <w:r>
        <w:t xml:space="preserve"> </w:t>
      </w:r>
      <w:r>
        <w:t xml:space="preserve">User engagement metrics (time on site, pages per session), conversion rates, task completion times, and user satisfaction scores.</w:t>
      </w:r>
    </w:p>
    <w:p>
      <w:pPr>
        <w:numPr>
          <w:ilvl w:val="0"/>
          <w:numId w:val="1003"/>
        </w:numPr>
        <w:pStyle w:val="Compact"/>
      </w:pPr>
      <w:r>
        <w:rPr>
          <w:bCs/>
          <w:b/>
        </w:rPr>
        <w:t xml:space="preserve">Control Variables:</w:t>
      </w:r>
      <w:r>
        <w:t xml:space="preserve"> </w:t>
      </w:r>
      <w:r>
        <w:t xml:space="preserve">Device type, internet connection speed, and time of day will be monitored to ensure they do not skew the results.</w:t>
      </w:r>
    </w:p>
    <w:bookmarkEnd w:id="27"/>
    <w:bookmarkStart w:id="28" w:name="data-collection-and-analysis"/>
    <w:p>
      <w:pPr>
        <w:pStyle w:val="Heading2"/>
      </w:pPr>
      <w:r>
        <w:t xml:space="preserve">6. Data Collection and Analysis</w:t>
      </w:r>
    </w:p>
    <w:p>
      <w:pPr>
        <w:pStyle w:val="FirstParagraph"/>
      </w:pPr>
      <w:r>
        <w:t xml:space="preserve">Data will be collected using a combination of quantitative and qualitative methods. Quantitative data will include clickstream data, conversion rates, and task completion times. Qualitative data will be gathered through post-task surveys and interviews with a subset of participants.</w:t>
      </w:r>
    </w:p>
    <w:p>
      <w:pPr>
        <w:pStyle w:val="BodyText"/>
      </w:pPr>
      <w:r>
        <w:t xml:space="preserve">Statistical analysis will be performed using appropriate software to determine the significance of the differences between the Control and Experimental groups. The analysis will focus on identifying which design elements had the most significant impact on user behavior.</w:t>
      </w:r>
    </w:p>
    <w:bookmarkEnd w:id="28"/>
    <w:bookmarkStart w:id="29" w:name="ethical-considerations"/>
    <w:p>
      <w:pPr>
        <w:pStyle w:val="Heading2"/>
      </w:pPr>
      <w:r>
        <w:t xml:space="preserve">7. Ethical Considerations</w:t>
      </w:r>
    </w:p>
    <w:p>
      <w:pPr>
        <w:pStyle w:val="FirstParagraph"/>
      </w:pPr>
      <w:r>
        <w:t xml:space="preserve">This experiment will adhere to the ethical guidelines set forth by the National Health and Medical Research Council (NHMRC) of Australia. Informed consent will be obtained from all participants prior to their involvement in the study. Participants will be informed of the purpose of the experiment, the procedures involved, and their right to withdraw at any time without penalty. All data collected will be anonymized and stored securely to protect participant privacy.</w:t>
      </w:r>
    </w:p>
    <w:bookmarkEnd w:id="29"/>
    <w:bookmarkStart w:id="30" w:name="timeline"/>
    <w:p>
      <w:pPr>
        <w:pStyle w:val="Heading2"/>
      </w:pPr>
      <w:r>
        <w:t xml:space="preserve">8. Timeline</w:t>
      </w:r>
    </w:p>
    <w:p>
      <w:pPr>
        <w:numPr>
          <w:ilvl w:val="0"/>
          <w:numId w:val="1004"/>
        </w:numPr>
        <w:pStyle w:val="Compact"/>
      </w:pPr>
      <w:r>
        <w:rPr>
          <w:bCs/>
          <w:b/>
        </w:rPr>
        <w:t xml:space="preserve">Week 1-2:</w:t>
      </w:r>
      <w:r>
        <w:t xml:space="preserve"> </w:t>
      </w:r>
      <w:r>
        <w:t xml:space="preserve">Recruitment of participants and finalization of website designs.</w:t>
      </w:r>
    </w:p>
    <w:p>
      <w:pPr>
        <w:numPr>
          <w:ilvl w:val="0"/>
          <w:numId w:val="1004"/>
        </w:numPr>
        <w:pStyle w:val="Compact"/>
      </w:pPr>
      <w:r>
        <w:rPr>
          <w:bCs/>
          <w:b/>
        </w:rPr>
        <w:t xml:space="preserve">Week 3-6:</w:t>
      </w:r>
      <w:r>
        <w:t xml:space="preserve"> </w:t>
      </w:r>
      <w:r>
        <w:t xml:space="preserve">Conducting the experiment and collecting data.</w:t>
      </w:r>
    </w:p>
    <w:p>
      <w:pPr>
        <w:numPr>
          <w:ilvl w:val="0"/>
          <w:numId w:val="1004"/>
        </w:numPr>
        <w:pStyle w:val="Compact"/>
      </w:pPr>
      <w:r>
        <w:rPr>
          <w:bCs/>
          <w:b/>
        </w:rPr>
        <w:t xml:space="preserve">Week 7-8:</w:t>
      </w:r>
      <w:r>
        <w:t xml:space="preserve"> </w:t>
      </w:r>
      <w:r>
        <w:t xml:space="preserve">Data analysis and reporting.</w:t>
      </w:r>
    </w:p>
    <w:bookmarkEnd w:id="30"/>
    <w:bookmarkStart w:id="31" w:name="conclusion"/>
    <w:p>
      <w:pPr>
        <w:pStyle w:val="Heading2"/>
      </w:pPr>
      <w:r>
        <w:t xml:space="preserve">9. Conclusion</w:t>
      </w:r>
    </w:p>
    <w:p>
      <w:pPr>
        <w:pStyle w:val="FirstParagraph"/>
      </w:pPr>
      <w:r>
        <w:t xml:space="preserve">This Experiment Protocol provides a structured approach to evaluating the impact of Web Designer practices on user engagement and conversion rates in Australia Melbourne. By following this protocol, we aim to generate actionable insights that can be used to improve web design practices and enhance the online experience for users in this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Australia Melbourne</dc:title>
  <dc:creator/>
  <dc:language>en</dc:language>
  <cp:keywords/>
  <dcterms:created xsi:type="dcterms:W3CDTF">2026-10-10T03:56:26Z</dcterms:created>
  <dcterms:modified xsi:type="dcterms:W3CDTF">2026-10-10T03:56:26Z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