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Australia</w:t>
      </w:r>
      <w:r>
        <w:t xml:space="preserve"> </w:t>
      </w:r>
      <w:r>
        <w:t xml:space="preserve">Sydney</w:t>
      </w:r>
    </w:p>
    <w:bookmarkStart w:id="20" w:name="X2e21a0a2365b4ee8af520ce28b91af2a469315b"/>
    <w:p>
      <w:pPr>
        <w:pStyle w:val="Heading1"/>
      </w:pPr>
      <w:r>
        <w:t xml:space="preserve">Experiment Protocol: Web Designer Performance and Usability Standards</w:t>
      </w:r>
    </w:p>
    <w:p>
      <w:pPr>
        <w:pStyle w:val="FirstParagraph"/>
      </w:pPr>
      <w:r>
        <w:rPr>
          <w:bCs/>
          <w:b/>
        </w:rPr>
        <w:t xml:space="preserve">Location:</w:t>
      </w:r>
      <w:r>
        <w:t xml:space="preserve"> </w:t>
      </w:r>
      <w:r>
        <w:t xml:space="preserve">Australia Sydney</w:t>
      </w:r>
    </w:p>
    <w:p>
      <w:pPr>
        <w:pStyle w:val="BodyText"/>
      </w:pPr>
      <w:r>
        <w:rPr>
          <w:bCs/>
          <w:b/>
        </w:rPr>
        <w:t xml:space="preserve">Role Focus:</w:t>
      </w:r>
      <w:r>
        <w:t xml:space="preserve"> </w:t>
      </w:r>
      <w:r>
        <w:t xml:space="preserve">Web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design efficacy, and user experience (UX) outcomes produced by a Web Designer operating within the Australia Sydney market. Sydney represents a highly competitive digital landscape characterized by high-speed connectivity expectations, diverse demographic user bases, and strict adherence to Australian privacy and accessibility laws.</w:t>
      </w:r>
    </w:p>
    <w:p>
      <w:pPr>
        <w:pStyle w:val="BodyText"/>
      </w:pPr>
      <w:r>
        <w:t xml:space="preserve">The primary objective of this experiment is to quantify the impact of specific design decisions made by the Web Designer on user engagement, conversion rates, and accessibility compliance. By isolating variables such as layout structure, color theory application, and load time optimization, this protocol aims to establish a data-driven framework for evaluating Web Designer output in the Sydney context.</w:t>
      </w:r>
    </w:p>
    <w:bookmarkEnd w:id="21"/>
    <w:bookmarkStart w:id="22" w:name="objectives"/>
    <w:p>
      <w:pPr>
        <w:pStyle w:val="Heading2"/>
      </w:pPr>
      <w:r>
        <w:t xml:space="preserve">2. Objectives</w:t>
      </w:r>
    </w:p>
    <w:p>
      <w:pPr>
        <w:pStyle w:val="FirstParagraph"/>
      </w:pPr>
      <w:r>
        <w:t xml:space="preserve">The experiment seeks to achieve the following specific goals:</w:t>
      </w:r>
    </w:p>
    <w:p>
      <w:pPr>
        <w:numPr>
          <w:ilvl w:val="0"/>
          <w:numId w:val="1001"/>
        </w:numPr>
        <w:pStyle w:val="Compact"/>
      </w:pPr>
      <w:r>
        <w:t xml:space="preserve">To measure the correlation between Web Designer interface choices and user task completion rates among Sydney-based users.</w:t>
      </w:r>
    </w:p>
    <w:p>
      <w:pPr>
        <w:numPr>
          <w:ilvl w:val="0"/>
          <w:numId w:val="1001"/>
        </w:numPr>
        <w:pStyle w:val="Compact"/>
      </w:pPr>
      <w:r>
        <w:t xml:space="preserve">To evaluate the accessibility of the designed web properties against the Disability Discrimination Act 1992 (Cth) and WCAG 2.1 AA standards.</w:t>
      </w:r>
    </w:p>
    <w:p>
      <w:pPr>
        <w:numPr>
          <w:ilvl w:val="0"/>
          <w:numId w:val="1001"/>
        </w:numPr>
        <w:pStyle w:val="Compact"/>
      </w:pPr>
      <w:r>
        <w:t xml:space="preserve">To assess the performance of the Web Designer’s code and asset optimization strategies on mobile networks prevalent in Australia Sydney.</w:t>
      </w:r>
    </w:p>
    <w:p>
      <w:pPr>
        <w:numPr>
          <w:ilvl w:val="0"/>
          <w:numId w:val="1001"/>
        </w:numPr>
        <w:pStyle w:val="Compact"/>
      </w:pPr>
      <w:r>
        <w:t xml:space="preserve">To determine the effectiveness of local cultural and linguistic cues in the design, ensuring resonance with the Australian audience.</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This study will utilize a randomized controlled trial (RCT) approach. Two distinct versions of a web interface will be developed by the Web Designer. Version A will serve as the control, adhering to standard industry templates. Version B will incorporate advanced UX principles, localized content strategies, and optimized performance techniques specific to the Australia Sydney market.</w:t>
      </w:r>
    </w:p>
    <w:bookmarkEnd w:id="23"/>
    <w:bookmarkStart w:id="24" w:name="participants"/>
    <w:p>
      <w:pPr>
        <w:pStyle w:val="Heading3"/>
      </w:pPr>
      <w:r>
        <w:t xml:space="preserve">3.2. Participants</w:t>
      </w:r>
    </w:p>
    <w:p>
      <w:pPr>
        <w:pStyle w:val="FirstParagraph"/>
      </w:pPr>
      <w:r>
        <w:t xml:space="preserve">Participants will be recruited from the Australia Sydney metropolitan area. The sample size will consist of at least 200 users, stratified by age, occupation, and device usage (mobile vs. desktop). This ensures that the data reflects the diverse digital habits of Sydney residents. Informed consent will be obtained from all participants prior to their involvement.</w:t>
      </w:r>
    </w:p>
    <w:bookmarkEnd w:id="24"/>
    <w:bookmarkStart w:id="25" w:name="tools-and-technologies"/>
    <w:p>
      <w:pPr>
        <w:pStyle w:val="Heading3"/>
      </w:pPr>
      <w:r>
        <w:t xml:space="preserve">3.3. Tools and Technologies</w:t>
      </w:r>
    </w:p>
    <w:p>
      <w:pPr>
        <w:pStyle w:val="FirstParagraph"/>
      </w:pPr>
      <w:r>
        <w:t xml:space="preserve">The Web Designer will utilize standard industry tools including Figma for prototyping, Adobe Creative Suite for asset creation, and VS Code for implementation. Analytics will be tracked using Google Analytics 4 and Hotjar for heatmapping. Performance testing will be conducted using Lighthouse and WebPageTest, configured to simulate Sydney-based network conditions (e.g., NBN speeds).</w:t>
      </w:r>
    </w:p>
    <w:bookmarkEnd w:id="25"/>
    <w:bookmarkEnd w:id="26"/>
    <w:bookmarkStart w:id="30" w:name="procedures"/>
    <w:p>
      <w:pPr>
        <w:pStyle w:val="Heading2"/>
      </w:pPr>
      <w:r>
        <w:t xml:space="preserve">4. Procedures</w:t>
      </w:r>
    </w:p>
    <w:bookmarkStart w:id="27" w:name="phase-1-design-and-development"/>
    <w:p>
      <w:pPr>
        <w:pStyle w:val="Heading3"/>
      </w:pPr>
      <w:r>
        <w:t xml:space="preserve">4.1. Phase 1: Design and Development</w:t>
      </w:r>
    </w:p>
    <w:p>
      <w:pPr>
        <w:pStyle w:val="FirstParagraph"/>
      </w:pPr>
      <w:r>
        <w:t xml:space="preserve">The Web Designer will create the initial wireframes and high-fidelity mockups. During this phase, specific attention must be paid to the visual identity that appeals to the Australia Sydney demographic. This includes the use of appropriate typography, imagery, and color palettes that align with local aesthetic preferences. The designer must ensure that all interactive elements are intuitive and responsive across various screen sizes.</w:t>
      </w:r>
    </w:p>
    <w:bookmarkEnd w:id="27"/>
    <w:bookmarkStart w:id="28" w:name="phase-2-implementation-and-optimization"/>
    <w:p>
      <w:pPr>
        <w:pStyle w:val="Heading3"/>
      </w:pPr>
      <w:r>
        <w:t xml:space="preserve">4.2. Phase 2: Implementation and Optimization</w:t>
      </w:r>
    </w:p>
    <w:p>
      <w:pPr>
        <w:pStyle w:val="FirstParagraph"/>
      </w:pPr>
      <w:r>
        <w:t xml:space="preserve">Upon approval of the designs, the Web Designer will code the interfaces. Critical performance metrics will be monitored. Given the high mobile usage in Australia Sydney, the designer must implement responsive design techniques and optimize images to ensure fast load times on 4G and 5G networks. Code cleanliness and semantic HTML structure will be enforced to support SEO and accessibility.</w:t>
      </w:r>
    </w:p>
    <w:bookmarkEnd w:id="28"/>
    <w:bookmarkStart w:id="29" w:name="phase-3-user-testing"/>
    <w:p>
      <w:pPr>
        <w:pStyle w:val="Heading3"/>
      </w:pPr>
      <w:r>
        <w:t xml:space="preserve">4.3. Phase 3: User Testing</w:t>
      </w:r>
    </w:p>
    <w:p>
      <w:pPr>
        <w:pStyle w:val="FirstParagraph"/>
      </w:pPr>
      <w:r>
        <w:t xml:space="preserve">Participants will be randomly assigned to interact with either Version A or Version B. They will be asked to complete specific tasks, such as finding contact information, purchasing a product, or navigating to a service page. The Web Designer’s success will be measured by the time taken to complete tasks, the number of errors made, and the overall user satisfaction score (SUS).</w:t>
      </w:r>
    </w:p>
    <w:bookmarkEnd w:id="29"/>
    <w:bookmarkEnd w:id="30"/>
    <w:bookmarkStart w:id="31" w:name="data-collection-and-analysis"/>
    <w:p>
      <w:pPr>
        <w:pStyle w:val="Heading2"/>
      </w:pPr>
      <w:r>
        <w:t xml:space="preserve">5. Data Collection and Analysis</w:t>
      </w:r>
    </w:p>
    <w:p>
      <w:pPr>
        <w:pStyle w:val="FirstParagraph"/>
      </w:pPr>
      <w:r>
        <w:t xml:space="preserve">Quantitative data will include click-through rates, bounce rates, average session duration, and page load times. Qualitative data will be gathered through post-task surveys and interviews, focusing on the user’s perception of the design’s professionalism and ease of use.</w:t>
      </w:r>
    </w:p>
    <w:p>
      <w:pPr>
        <w:pStyle w:val="BodyText"/>
      </w:pPr>
      <w:r>
        <w:t xml:space="preserve">Statistical analysis will be performed to determine if the differences in performance between Version A and Version B are significant. The Web Designer’s adherence to the Australia Sydney regulatory environment, particularly regarding privacy policies and cookie consent mechanisms, will also be audited as part of the data analysis.</w:t>
      </w:r>
    </w:p>
    <w:bookmarkEnd w:id="31"/>
    <w:bookmarkStart w:id="32" w:name="ethical-considerations"/>
    <w:p>
      <w:pPr>
        <w:pStyle w:val="Heading2"/>
      </w:pPr>
      <w:r>
        <w:t xml:space="preserve">6. Ethical Considerations</w:t>
      </w:r>
    </w:p>
    <w:p>
      <w:pPr>
        <w:pStyle w:val="FirstParagraph"/>
      </w:pPr>
      <w:r>
        <w:t xml:space="preserve">This experiment protocol strictly adheres to ethical guidelines. All user data collected will be anonymized and stored securely in compliance with the Privacy Act 1988 (Cth). Participants will be informed of their right to withdraw from the study at any time without penalty. The Web Designer is responsible for ensuring that no personally identifiable information is exposed during the testing phases.</w:t>
      </w:r>
    </w:p>
    <w:bookmarkEnd w:id="32"/>
    <w:bookmarkStart w:id="33"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findings regarding the Web Designer’s effectiveness in creating user-centric, high-performance web solutions for the Australia Sydney market. Recommendations for future design iterations will be provided based on the empirical data collected. This protocol ensures that the evaluation of the Web Designer is rigorous, fair, and aligned with the high standards expected in the Sydney digital ecosystem.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Australia Sydney</dc:title>
  <dc:creator/>
  <dc:language>en</dc:language>
  <cp:keywords/>
  <dcterms:created xsi:type="dcterms:W3CDTF">2026-10-10T02:09:35Z</dcterms:created>
  <dcterms:modified xsi:type="dcterms:W3CDTF">2026-10-10T02:09:35Z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