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Performance</w:t>
      </w:r>
      <w:r>
        <w:t xml:space="preserve"> </w:t>
      </w:r>
      <w:r>
        <w:t xml:space="preserve">in</w:t>
      </w:r>
      <w:r>
        <w:t xml:space="preserve"> </w:t>
      </w:r>
      <w:r>
        <w:t xml:space="preserve">Canada</w:t>
      </w:r>
      <w:r>
        <w:t xml:space="preserve"> </w:t>
      </w:r>
      <w:r>
        <w:t xml:space="preserve">Vancouver</w:t>
      </w:r>
    </w:p>
    <w:bookmarkStart w:id="20" w:name="X59159bce5dd90047f313afb8b809e8d258d9c32"/>
    <w:p>
      <w:pPr>
        <w:pStyle w:val="Heading1"/>
      </w:pPr>
      <w:r>
        <w:t xml:space="preserve">Experiment Protocol: Web Designer Performance and User Experience Optimization</w:t>
      </w:r>
    </w:p>
    <w:p>
      <w:pPr>
        <w:pStyle w:val="FirstParagraph"/>
      </w:pPr>
      <w:r>
        <w:rPr>
          <w:bCs/>
          <w:b/>
        </w:rPr>
        <w:t xml:space="preserve">Location:</w:t>
      </w:r>
      <w:r>
        <w:t xml:space="preserve"> </w:t>
      </w:r>
      <w:r>
        <w:t xml:space="preserve">Canada Vancouver, British Columbia</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Local Tech Consortium and Design Agencies</w:t>
      </w:r>
    </w:p>
    <w:bookmarkEnd w:id="20"/>
    <w:p>
      <w:pPr>
        <w:pStyle w:val="BodyText"/>
      </w:pPr>
      <w:r>
        <w:t xml:space="preserve">1. Introduction and Background</w:t>
      </w:r>
    </w:p>
    <w:p>
      <w:pPr>
        <w:pStyle w:val="BodyText"/>
      </w:pPr>
      <w:r>
        <w:t xml:space="preserve">This Experiment Protocol outlines the methodology for assessing the performance, creativity, and technical proficiency of Web Designers operating within the Canada Vancouver market. Vancouver is recognized as a burgeoning hub for technology and digital innovation in Western Canada. The local market demands high standards of accessibility, bilingual support (English and French considerations), and responsiveness to diverse user demographics.</w:t>
      </w:r>
    </w:p>
    <w:p>
      <w:pPr>
        <w:pStyle w:val="BodyText"/>
      </w:pPr>
      <w:r>
        <w:t xml:space="preserve">The primary objective of this experiment is to evaluate how Web Designers in Canada Vancouver adapt their design strategies to local regulatory requirements, cultural nuances, and technical constraints. This protocol ensures a standardized approach to testing design outputs, providing actionable data for hiring managers, educational institutions, and professional development programs.</w:t>
      </w:r>
    </w:p>
    <w:p>
      <w:pPr>
        <w:pStyle w:val="BodyText"/>
      </w:pPr>
      <w:r>
        <w:t xml:space="preserve">2. Objectives</w:t>
      </w:r>
    </w:p>
    <w:p>
      <w:pPr>
        <w:pStyle w:val="BodyText"/>
      </w:pPr>
      <w:r>
        <w:t xml:space="preserve">The specific goals of this experiment are as follows:</w:t>
      </w:r>
    </w:p>
    <w:p>
      <w:pPr>
        <w:numPr>
          <w:ilvl w:val="0"/>
          <w:numId w:val="1001"/>
        </w:numPr>
        <w:pStyle w:val="Compact"/>
      </w:pPr>
      <w:r>
        <w:t xml:space="preserve">To measure the technical accuracy of HTML5, CSS3, and JavaScript implementation by participating Web Designers.</w:t>
      </w:r>
    </w:p>
    <w:p>
      <w:pPr>
        <w:numPr>
          <w:ilvl w:val="0"/>
          <w:numId w:val="1001"/>
        </w:numPr>
        <w:pStyle w:val="Compact"/>
      </w:pPr>
      <w:r>
        <w:t xml:space="preserve">To assess the adherence to Canadian accessibility standards (WCAG 2.1 AA) which are critical in Canada Vancouver public and private sectors.</w:t>
      </w:r>
    </w:p>
    <w:p>
      <w:pPr>
        <w:numPr>
          <w:ilvl w:val="0"/>
          <w:numId w:val="1001"/>
        </w:numPr>
        <w:pStyle w:val="Compact"/>
      </w:pPr>
      <w:r>
        <w:t xml:space="preserve">To evaluate the aesthetic alignment with the contemporary design trends prevalent in the Pacific Northwest region.</w:t>
      </w:r>
    </w:p>
    <w:p>
      <w:pPr>
        <w:numPr>
          <w:ilvl w:val="0"/>
          <w:numId w:val="1001"/>
        </w:numPr>
        <w:pStyle w:val="Compact"/>
      </w:pPr>
      <w:r>
        <w:t xml:space="preserve">To determine the efficiency of the design process under simulated real-world client constraints typical of the Vancouver market.</w:t>
      </w:r>
    </w:p>
    <w:p>
      <w:pPr>
        <w:pStyle w:val="FirstParagraph"/>
      </w:pPr>
      <w:r>
        <w:t xml:space="preserve">3. Participants</w:t>
      </w:r>
    </w:p>
    <w:p>
      <w:pPr>
        <w:pStyle w:val="BodyText"/>
      </w:pPr>
      <w:r>
        <w:t xml:space="preserve">Participants will be recruited from the Canada Vancouver area, including freelance professionals, agency employees, and recent graduates from local institutions such as Emily Carr University of Art + Design or BCIT.</w:t>
      </w:r>
    </w:p>
    <w:p>
      <w:pPr>
        <w:pStyle w:val="BodyText"/>
      </w:pPr>
      <w:r>
        <w:rPr>
          <w:bCs/>
          <w:b/>
        </w:rPr>
        <w:t xml:space="preserve">Inclusion Criteria:</w:t>
      </w:r>
    </w:p>
    <w:p>
      <w:pPr>
        <w:numPr>
          <w:ilvl w:val="0"/>
          <w:numId w:val="1002"/>
        </w:numPr>
        <w:pStyle w:val="Compact"/>
      </w:pPr>
      <w:r>
        <w:t xml:space="preserve">Minimum of one year of professional experience as a Web Designer.</w:t>
      </w:r>
    </w:p>
    <w:p>
      <w:pPr>
        <w:numPr>
          <w:ilvl w:val="0"/>
          <w:numId w:val="1002"/>
        </w:numPr>
        <w:pStyle w:val="Compact"/>
      </w:pPr>
      <w:r>
        <w:t xml:space="preserve">Residency or active work status in Canada Vancouver.</w:t>
      </w:r>
    </w:p>
    <w:p>
      <w:pPr>
        <w:numPr>
          <w:ilvl w:val="0"/>
          <w:numId w:val="1002"/>
        </w:numPr>
        <w:pStyle w:val="Compact"/>
      </w:pPr>
      <w:r>
        <w:t xml:space="preserve">Proficiency in English; French proficiency is a secondary variable for analysis.</w:t>
      </w:r>
    </w:p>
    <w:p>
      <w:pPr>
        <w:pStyle w:val="FirstParagraph"/>
      </w:pPr>
      <w:r>
        <w:t xml:space="preserve">4. Experimental Design</w:t>
      </w:r>
    </w:p>
    <w:p>
      <w:pPr>
        <w:pStyle w:val="BodyText"/>
      </w:pPr>
      <w:r>
        <w:t xml:space="preserve">This experiment utilizes a controlled task-based design. Each Web Designer will be assigned a standardized project brief requiring the creation of a responsive landing page for a fictional Vancouver-based sustainable tourism company.</w:t>
      </w:r>
    </w:p>
    <w:p>
      <w:pPr>
        <w:pStyle w:val="BodyText"/>
      </w:pPr>
      <w:r>
        <w:rPr>
          <w:bCs/>
          <w:b/>
        </w:rPr>
        <w:t xml:space="preserve">Variables:</w:t>
      </w:r>
    </w:p>
    <w:p>
      <w:pPr>
        <w:numPr>
          <w:ilvl w:val="0"/>
          <w:numId w:val="1003"/>
        </w:numPr>
        <w:pStyle w:val="Compact"/>
      </w:pPr>
      <w:r>
        <w:rPr>
          <w:bCs/>
          <w:b/>
        </w:rPr>
        <w:t xml:space="preserve">Independent Variable:</w:t>
      </w:r>
      <w:r>
        <w:t xml:space="preserve"> </w:t>
      </w:r>
      <w:r>
        <w:t xml:space="preserve">The individual design approach and technical stack chosen by the Web Designer.</w:t>
      </w:r>
    </w:p>
    <w:p>
      <w:pPr>
        <w:numPr>
          <w:ilvl w:val="0"/>
          <w:numId w:val="1003"/>
        </w:numPr>
        <w:pStyle w:val="Compact"/>
      </w:pPr>
      <w:r>
        <w:rPr>
          <w:bCs/>
          <w:b/>
        </w:rPr>
        <w:t xml:space="preserve">Dependent Variables:</w:t>
      </w:r>
      <w:r>
        <w:t xml:space="preserve"> </w:t>
      </w:r>
      <w:r>
        <w:t xml:space="preserve">Page load speed, accessibility score, visual appeal rating, and code quality metrics.</w:t>
      </w:r>
    </w:p>
    <w:p>
      <w:pPr>
        <w:numPr>
          <w:ilvl w:val="0"/>
          <w:numId w:val="1003"/>
        </w:numPr>
        <w:pStyle w:val="Compact"/>
      </w:pPr>
      <w:r>
        <w:rPr>
          <w:bCs/>
          <w:b/>
        </w:rPr>
        <w:t xml:space="preserve">Control Variables:</w:t>
      </w:r>
      <w:r>
        <w:t xml:space="preserve"> </w:t>
      </w:r>
      <w:r>
        <w:t xml:space="preserve">The project brief, time limit (48 hours), and target audience demographics.</w:t>
      </w:r>
    </w:p>
    <w:p>
      <w:pPr>
        <w:pStyle w:val="FirstParagraph"/>
      </w:pPr>
      <w:r>
        <w:t xml:space="preserve">5. Procedure</w:t>
      </w:r>
    </w:p>
    <w:p>
      <w:pPr>
        <w:pStyle w:val="BodyText"/>
      </w:pPr>
      <w:r>
        <w:t xml:space="preserve">The experiment will proceed in three distinct phases:</w:t>
      </w:r>
    </w:p>
    <w:p>
      <w:pPr>
        <w:numPr>
          <w:ilvl w:val="0"/>
          <w:numId w:val="1004"/>
        </w:numPr>
        <w:pStyle w:val="Compact"/>
      </w:pPr>
      <w:r>
        <w:rPr>
          <w:bCs/>
          <w:b/>
        </w:rPr>
        <w:t xml:space="preserve">Briefing Phase:</w:t>
      </w:r>
      <w:r>
        <w:t xml:space="preserve"> </w:t>
      </w:r>
      <w:r>
        <w:t xml:space="preserve">Participants receive the project brief via a secure portal. The brief includes brand guidelines, content assets, and specific requirements for mobile responsiveness and accessibility.</w:t>
      </w:r>
    </w:p>
    <w:p>
      <w:pPr>
        <w:numPr>
          <w:ilvl w:val="0"/>
          <w:numId w:val="1004"/>
        </w:numPr>
        <w:pStyle w:val="Compact"/>
      </w:pPr>
      <w:r>
        <w:rPr>
          <w:bCs/>
          <w:b/>
        </w:rPr>
        <w:t xml:space="preserve">Execution Phase:</w:t>
      </w:r>
      <w:r>
        <w:t xml:space="preserve"> </w:t>
      </w:r>
      <w:r>
        <w:t xml:space="preserve">Participants have 48 hours to design and code the landing page. They must use standard web technologies. No pre-built templates are allowed to ensure original assessment of the Web Designer's skills.</w:t>
      </w:r>
    </w:p>
    <w:p>
      <w:pPr>
        <w:numPr>
          <w:ilvl w:val="0"/>
          <w:numId w:val="1004"/>
        </w:numPr>
        <w:pStyle w:val="Compact"/>
      </w:pPr>
      <w:r>
        <w:rPr>
          <w:bCs/>
          <w:b/>
        </w:rPr>
        <w:t xml:space="preserve">Submission and Evaluation Phase:</w:t>
      </w:r>
      <w:r>
        <w:t xml:space="preserve"> </w:t>
      </w:r>
      <w:r>
        <w:t xml:space="preserve">Participants submit their source code and a live URL. Automated tools and human evaluators will assess the outputs based on the criteria defined in Section 6.</w:t>
      </w:r>
    </w:p>
    <w:p>
      <w:pPr>
        <w:pStyle w:val="FirstParagraph"/>
      </w:pPr>
      <w:r>
        <w:t xml:space="preserve">6. Evaluation Criteria</w:t>
      </w:r>
    </w:p>
    <w:p>
      <w:pPr>
        <w:pStyle w:val="BodyText"/>
      </w:pPr>
      <w:r>
        <w:t xml:space="preserve">The performance of each Web Designer will be scored using the following weighted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Technical Implementation</w:t>
            </w:r>
          </w:p>
        </w:tc>
        <w:tc>
          <w:tcPr/>
          <w:p>
            <w:pPr>
              <w:pStyle w:val="Compact"/>
              <w:jc w:val="left"/>
            </w:pPr>
            <w:r>
              <w:t xml:space="preserve">Valid HTML/CSS, semantic structure, and clean code.</w:t>
            </w:r>
          </w:p>
        </w:tc>
        <w:tc>
          <w:tcPr/>
          <w:p>
            <w:pPr>
              <w:pStyle w:val="Compact"/>
              <w:jc w:val="left"/>
            </w:pPr>
            <w:r>
              <w:t xml:space="preserve">30%</w:t>
            </w:r>
          </w:p>
        </w:tc>
      </w:tr>
      <w:tr>
        <w:tc>
          <w:tcPr/>
          <w:p>
            <w:pPr>
              <w:pStyle w:val="Compact"/>
              <w:jc w:val="left"/>
            </w:pPr>
            <w:r>
              <w:t xml:space="preserve">Accessibility Compliance</w:t>
            </w:r>
          </w:p>
        </w:tc>
        <w:tc>
          <w:tcPr/>
          <w:p>
            <w:pPr>
              <w:pStyle w:val="Compact"/>
              <w:jc w:val="left"/>
            </w:pPr>
            <w:r>
              <w:t xml:space="preserve">Adherence to WCAG 2.1 AA standards, crucial for Canada Vancouver inclusivity.</w:t>
            </w:r>
          </w:p>
        </w:tc>
        <w:tc>
          <w:tcPr/>
          <w:p>
            <w:pPr>
              <w:pStyle w:val="Compact"/>
              <w:jc w:val="left"/>
            </w:pPr>
            <w:r>
              <w:t xml:space="preserve">25%</w:t>
            </w:r>
          </w:p>
        </w:tc>
      </w:tr>
      <w:tr>
        <w:tc>
          <w:tcPr/>
          <w:p>
            <w:pPr>
              <w:pStyle w:val="Compact"/>
              <w:jc w:val="left"/>
            </w:pPr>
            <w:r>
              <w:t xml:space="preserve">Visual Design</w:t>
            </w:r>
          </w:p>
        </w:tc>
        <w:tc>
          <w:tcPr/>
          <w:p>
            <w:pPr>
              <w:pStyle w:val="Compact"/>
              <w:jc w:val="left"/>
            </w:pPr>
            <w:r>
              <w:t xml:space="preserve">Aesthetic quality, typography, color theory, and brand alignment.</w:t>
            </w:r>
          </w:p>
        </w:tc>
        <w:tc>
          <w:tcPr/>
          <w:p>
            <w:pPr>
              <w:pStyle w:val="Compact"/>
              <w:jc w:val="left"/>
            </w:pPr>
            <w:r>
              <w:t xml:space="preserve">25%</w:t>
            </w:r>
          </w:p>
        </w:tc>
      </w:tr>
      <w:tr>
        <w:tc>
          <w:tcPr/>
          <w:p>
            <w:pPr>
              <w:pStyle w:val="Compact"/>
              <w:jc w:val="left"/>
            </w:pPr>
            <w:r>
              <w:t xml:space="preserve">Responsiveness</w:t>
            </w:r>
          </w:p>
        </w:tc>
        <w:tc>
          <w:tcPr/>
          <w:p>
            <w:pPr>
              <w:pStyle w:val="Compact"/>
              <w:jc w:val="left"/>
            </w:pPr>
            <w:r>
              <w:t xml:space="preserve">Performance across mobile, tablet, and desktop devices.</w:t>
            </w:r>
          </w:p>
        </w:tc>
        <w:tc>
          <w:tcPr/>
          <w:p>
            <w:pPr>
              <w:pStyle w:val="Compact"/>
              <w:jc w:val="left"/>
            </w:pPr>
            <w:r>
              <w:t xml:space="preserve">20%</w:t>
            </w:r>
          </w:p>
        </w:tc>
      </w:tr>
    </w:tbl>
    <w:p>
      <w:pPr>
        <w:pStyle w:val="BodyText"/>
      </w:pPr>
      <w:r>
        <w:t xml:space="preserve">7. Ethical Considerations and Data Privacy</w:t>
      </w:r>
    </w:p>
    <w:p>
      <w:pPr>
        <w:pStyle w:val="BodyText"/>
      </w:pPr>
      <w:r>
        <w:t xml:space="preserve">Given the location in Canada Vancouver, this experiment strictly adheres to the Personal Information Protection and Electronic Documents Act (PIPEDA). All participant data, including code submissions and personal information, will be encrypted and stored securely. Participants will provide informed consent prior to the start of the experiment. The results will be anonymized for any public reporting or academic publication.</w:t>
      </w:r>
    </w:p>
    <w:p>
      <w:pPr>
        <w:pStyle w:val="BodyText"/>
      </w:pPr>
      <w:r>
        <w:t xml:space="preserve">8. Timeline</w:t>
      </w:r>
    </w:p>
    <w:p>
      <w:pPr>
        <w:numPr>
          <w:ilvl w:val="0"/>
          <w:numId w:val="1005"/>
        </w:numPr>
        <w:pStyle w:val="Compact"/>
      </w:pPr>
      <w:r>
        <w:rPr>
          <w:bCs/>
          <w:b/>
        </w:rPr>
        <w:t xml:space="preserve">Week 1:</w:t>
      </w:r>
      <w:r>
        <w:t xml:space="preserve"> </w:t>
      </w:r>
      <w:r>
        <w:t xml:space="preserve">Recruitment and briefing of Web Designers.</w:t>
      </w:r>
    </w:p>
    <w:p>
      <w:pPr>
        <w:numPr>
          <w:ilvl w:val="0"/>
          <w:numId w:val="1005"/>
        </w:numPr>
        <w:pStyle w:val="Compact"/>
      </w:pPr>
      <w:r>
        <w:rPr>
          <w:bCs/>
          <w:b/>
        </w:rPr>
        <w:t xml:space="preserve">Week 2:</w:t>
      </w:r>
      <w:r>
        <w:t xml:space="preserve"> </w:t>
      </w:r>
      <w:r>
        <w:t xml:space="preserve">Execution phase (48-hour window for each cohort).</w:t>
      </w:r>
    </w:p>
    <w:p>
      <w:pPr>
        <w:numPr>
          <w:ilvl w:val="0"/>
          <w:numId w:val="1005"/>
        </w:numPr>
        <w:pStyle w:val="Compact"/>
      </w:pPr>
      <w:r>
        <w:rPr>
          <w:bCs/>
          <w:b/>
        </w:rPr>
        <w:t xml:space="preserve">Week 3:</w:t>
      </w:r>
      <w:r>
        <w:t xml:space="preserve"> </w:t>
      </w:r>
      <w:r>
        <w:t xml:space="preserve">Evaluation and data analysis.</w:t>
      </w:r>
    </w:p>
    <w:p>
      <w:pPr>
        <w:numPr>
          <w:ilvl w:val="0"/>
          <w:numId w:val="1005"/>
        </w:numPr>
        <w:pStyle w:val="Compact"/>
      </w:pPr>
      <w:r>
        <w:rPr>
          <w:bCs/>
          <w:b/>
        </w:rPr>
        <w:t xml:space="preserve">Week 4:</w:t>
      </w:r>
      <w:r>
        <w:t xml:space="preserve"> </w:t>
      </w:r>
      <w:r>
        <w:t xml:space="preserve">Reporting and feedback distribution.</w:t>
      </w:r>
    </w:p>
    <w:p>
      <w:pPr>
        <w:pStyle w:val="FirstParagraph"/>
      </w:pPr>
      <w:r>
        <w:t xml:space="preserve">9. Conclusion</w:t>
      </w:r>
    </w:p>
    <w:p>
      <w:pPr>
        <w:pStyle w:val="BodyText"/>
      </w:pPr>
      <w:r>
        <w:t xml:space="preserve">This Experiment Protocol provides a robust framework for evaluating the capabilities of Web Designers in the Canada Vancouver region. By focusing on technical rigor, accessibility, and local market relevance, this study aims to elevate the standards of web design practice in the area. The findings will contribute to a better understanding of the skills gap and training needs within the local tech ecosystem.</w:t>
      </w:r>
    </w:p>
    <w:p>
      <w:pPr>
        <w:pStyle w:val="BodyText"/>
      </w:pPr>
      <w:r>
        <w:t xml:space="preserve">© 2023 Vancouver Web Design Research Initiative. All rights reserved.</w:t>
      </w:r>
      <w:r>
        <w:br/>
      </w:r>
      <w:r>
        <w:t xml:space="preserve">This document is confidential and intended for authorized personnel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Performance in Canada Vancouver</dc:title>
  <dc:creator/>
  <dc:language>en</dc:language>
  <cp:keywords/>
  <dcterms:created xsi:type="dcterms:W3CDTF">2026-10-10T01:09:09Z</dcterms:created>
  <dcterms:modified xsi:type="dcterms:W3CDTF">2026-10-10T01:09:09Z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