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Analysis</w:t>
      </w:r>
      <w:r>
        <w:t xml:space="preserve"> </w:t>
      </w:r>
      <w:r>
        <w:t xml:space="preserve">in</w:t>
      </w:r>
      <w:r>
        <w:t xml:space="preserve"> </w:t>
      </w:r>
      <w:r>
        <w:t xml:space="preserve">Germany</w:t>
      </w:r>
      <w:r>
        <w:t xml:space="preserve"> </w:t>
      </w:r>
      <w:r>
        <w:t xml:space="preserve">Berlin</w:t>
      </w:r>
    </w:p>
    <w:bookmarkStart w:id="31" w:name="X7e6bf02012c2e1f927ab3ad2ab7bc6f64f55791"/>
    <w:p>
      <w:pPr>
        <w:pStyle w:val="Heading1"/>
      </w:pPr>
      <w:r>
        <w:t xml:space="preserve">Experiment Protocol: Web Designer Performance Analysis in Germany Berlin</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efficiency, and creative output of Web Designers operating within the dynamic digital landscape of Germany Berlin. Berlin has emerged as a leading hub for technology, startups, and digital innovation in Europe. The city’s unique blend of creative freedom, multicultural influences, and strong technical infrastructure provides an ideal environment for studying web design practices.</w:t>
      </w:r>
    </w:p>
    <w:p>
      <w:pPr>
        <w:pStyle w:val="BodyText"/>
      </w:pPr>
      <w:r>
        <w:t xml:space="preserve">The purpose of this experiment is to systematically assess how Web Designers in Germany Berlin adapt to local market demands, regulatory requirements (such as GDPR), and user expectations. By analyzing design workflows, tool usage, collaboration patterns, and final deliverables, this study aims to identify best practices and areas for improvement in the field of web design within this specific geographic and cultural context.</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evaluate the technical proficiency of Web Designers in Germany Berlin in creating responsive, accessible, and performant websites.</w:t>
      </w:r>
    </w:p>
    <w:p>
      <w:pPr>
        <w:numPr>
          <w:ilvl w:val="0"/>
          <w:numId w:val="1001"/>
        </w:numPr>
        <w:pStyle w:val="Compact"/>
      </w:pPr>
      <w:r>
        <w:t xml:space="preserve">To analyze the integration of local cultural and linguistic elements into web design projects.</w:t>
      </w:r>
    </w:p>
    <w:p>
      <w:pPr>
        <w:numPr>
          <w:ilvl w:val="0"/>
          <w:numId w:val="1001"/>
        </w:numPr>
        <w:pStyle w:val="Compact"/>
      </w:pPr>
      <w:r>
        <w:t xml:space="preserve">To assess compliance with European and German legal standards, including data protection and accessibility regulations.</w:t>
      </w:r>
    </w:p>
    <w:p>
      <w:pPr>
        <w:numPr>
          <w:ilvl w:val="0"/>
          <w:numId w:val="1001"/>
        </w:numPr>
        <w:pStyle w:val="Compact"/>
      </w:pPr>
      <w:r>
        <w:t xml:space="preserve">To measure the efficiency of design workflows and collaboration tools used by Web Designers in Berlin’s tech ecosystem.</w:t>
      </w:r>
    </w:p>
    <w:p>
      <w:pPr>
        <w:numPr>
          <w:ilvl w:val="0"/>
          <w:numId w:val="1001"/>
        </w:numPr>
        <w:pStyle w:val="Compact"/>
      </w:pPr>
      <w:r>
        <w:t xml:space="preserve">To gather insights into user experience (UX) preferences of Berlin-based audiences and how they influence design decisions.</w:t>
      </w:r>
    </w:p>
    <w:bookmarkEnd w:id="21"/>
    <w:bookmarkStart w:id="22" w:name="scope-and-participants"/>
    <w:p>
      <w:pPr>
        <w:pStyle w:val="Heading2"/>
      </w:pPr>
      <w:r>
        <w:t xml:space="preserve">3. Scope and Participants</w:t>
      </w:r>
    </w:p>
    <w:p>
      <w:pPr>
        <w:pStyle w:val="FirstParagraph"/>
      </w:pPr>
      <w:r>
        <w:t xml:space="preserve">This experiment will focus exclusively on Web Designers based in Germany Berlin, including freelancers, agency employees, and in-house designers at startups and established companies. Participants will be selected based on their active involvement in web design projects targeting local or international audiences from Berlin.</w:t>
      </w:r>
    </w:p>
    <w:p>
      <w:pPr>
        <w:pStyle w:val="BodyText"/>
      </w:pPr>
      <w:r>
        <w:t xml:space="preserve">The sample size will include at least 30 Web Designers with varying levels of experience (junior, mid-level, senior) to ensure a comprehensive analysis. All participants must provide informed consent and agree to share anonymized data related to their design processes and outputs.</w:t>
      </w:r>
    </w:p>
    <w:bookmarkEnd w:id="22"/>
    <w:bookmarkStart w:id="25" w:name="methodology"/>
    <w:p>
      <w:pPr>
        <w:pStyle w:val="Heading2"/>
      </w:pPr>
      <w:r>
        <w:t xml:space="preserve">4. Methodology</w:t>
      </w:r>
    </w:p>
    <w:bookmarkStart w:id="23" w:name="data-collection-methods"/>
    <w:p>
      <w:pPr>
        <w:pStyle w:val="Heading3"/>
      </w:pPr>
      <w:r>
        <w:t xml:space="preserve">4.1 Data Collection Methods</w:t>
      </w:r>
    </w:p>
    <w:p>
      <w:pPr>
        <w:pStyle w:val="FirstParagraph"/>
      </w:pPr>
      <w:r>
        <w:t xml:space="preserve">Data will be collected through multiple channels to ensure accuracy and depth:</w:t>
      </w:r>
    </w:p>
    <w:p>
      <w:pPr>
        <w:numPr>
          <w:ilvl w:val="0"/>
          <w:numId w:val="1002"/>
        </w:numPr>
        <w:pStyle w:val="Compact"/>
      </w:pPr>
      <w:r>
        <w:rPr>
          <w:bCs/>
          <w:b/>
        </w:rPr>
        <w:t xml:space="preserve">Surveys:</w:t>
      </w:r>
      <w:r>
        <w:t xml:space="preserve"> </w:t>
      </w:r>
      <w:r>
        <w:t xml:space="preserve">Structured questionnaires will assess designers’ tools, workflows, challenges, and perceptions of the Berlin market.</w:t>
      </w:r>
    </w:p>
    <w:p>
      <w:pPr>
        <w:numPr>
          <w:ilvl w:val="0"/>
          <w:numId w:val="1002"/>
        </w:numPr>
        <w:pStyle w:val="Compact"/>
      </w:pPr>
      <w:r>
        <w:rPr>
          <w:bCs/>
          <w:b/>
        </w:rPr>
        <w:t xml:space="preserve">Interviews:</w:t>
      </w:r>
      <w:r>
        <w:t xml:space="preserve"> </w:t>
      </w:r>
      <w:r>
        <w:t xml:space="preserve">Semi-structured interviews will provide qualitative insights into creative decision-making and local adaptation strategies.</w:t>
      </w:r>
    </w:p>
    <w:p>
      <w:pPr>
        <w:numPr>
          <w:ilvl w:val="0"/>
          <w:numId w:val="1002"/>
        </w:numPr>
        <w:pStyle w:val="Compact"/>
      </w:pPr>
      <w:r>
        <w:rPr>
          <w:bCs/>
          <w:b/>
        </w:rPr>
        <w:t xml:space="preserve">Portfolio Analysis:</w:t>
      </w:r>
      <w:r>
        <w:t xml:space="preserve"> </w:t>
      </w:r>
      <w:r>
        <w:t xml:space="preserve">A review of selected web projects will evaluate design quality, responsiveness, accessibility, and cultural relevance.</w:t>
      </w:r>
    </w:p>
    <w:p>
      <w:pPr>
        <w:numPr>
          <w:ilvl w:val="0"/>
          <w:numId w:val="1002"/>
        </w:numPr>
        <w:pStyle w:val="Compact"/>
      </w:pPr>
      <w:r>
        <w:rPr>
          <w:bCs/>
          <w:b/>
        </w:rPr>
        <w:t xml:space="preserve">Performance Metrics:</w:t>
      </w:r>
      <w:r>
        <w:t xml:space="preserve"> </w:t>
      </w:r>
      <w:r>
        <w:t xml:space="preserve">Technical analysis of websites will measure load times, mobile optimization, and compliance with WCAG and GDPR standards.</w:t>
      </w:r>
    </w:p>
    <w:bookmarkEnd w:id="23"/>
    <w:bookmarkStart w:id="24" w:name="experimental-tasks"/>
    <w:p>
      <w:pPr>
        <w:pStyle w:val="Heading3"/>
      </w:pPr>
      <w:r>
        <w:t xml:space="preserve">4.2 Experimental Tasks</w:t>
      </w:r>
    </w:p>
    <w:p>
      <w:pPr>
        <w:pStyle w:val="FirstParagraph"/>
      </w:pPr>
      <w:r>
        <w:t xml:space="preserve">Participants will complete standardized design tasks simulating real-world scenarios common in Germany Berlin. These tasks include:</w:t>
      </w:r>
    </w:p>
    <w:p>
      <w:pPr>
        <w:numPr>
          <w:ilvl w:val="0"/>
          <w:numId w:val="1003"/>
        </w:numPr>
        <w:pStyle w:val="Compact"/>
      </w:pPr>
      <w:r>
        <w:t xml:space="preserve">Designing a landing page for a Berlin-based startup targeting local users.</w:t>
      </w:r>
    </w:p>
    <w:p>
      <w:pPr>
        <w:numPr>
          <w:ilvl w:val="0"/>
          <w:numId w:val="1003"/>
        </w:numPr>
        <w:pStyle w:val="Compact"/>
      </w:pPr>
      <w:r>
        <w:t xml:space="preserve">Implementing GDPR-compliant data collection forms.</w:t>
      </w:r>
    </w:p>
    <w:p>
      <w:pPr>
        <w:numPr>
          <w:ilvl w:val="0"/>
          <w:numId w:val="1003"/>
        </w:numPr>
        <w:pStyle w:val="Compact"/>
      </w:pPr>
      <w:r>
        <w:t xml:space="preserve">Creating a responsive layout optimized for both desktop and mobile devices.</w:t>
      </w:r>
    </w:p>
    <w:p>
      <w:pPr>
        <w:numPr>
          <w:ilvl w:val="0"/>
          <w:numId w:val="1003"/>
        </w:numPr>
        <w:pStyle w:val="Compact"/>
      </w:pPr>
      <w:r>
        <w:t xml:space="preserve">Incorporating multilingual support (German and English) into the design.</w:t>
      </w:r>
    </w:p>
    <w:p>
      <w:pPr>
        <w:pStyle w:val="FirstParagraph"/>
      </w:pPr>
      <w:r>
        <w:t xml:space="preserve">Each task will be evaluated based on predefined criteria, including usability, aesthetic appeal, technical performance, and regulatory compliance.</w:t>
      </w:r>
    </w:p>
    <w:bookmarkEnd w:id="24"/>
    <w:bookmarkEnd w:id="25"/>
    <w:bookmarkStart w:id="26" w:name="evaluation-criteria"/>
    <w:p>
      <w:pPr>
        <w:pStyle w:val="Heading2"/>
      </w:pPr>
      <w:r>
        <w:t xml:space="preserve">5. Evaluation Criteria</w:t>
      </w:r>
    </w:p>
    <w:p>
      <w:pPr>
        <w:pStyle w:val="FirstParagraph"/>
      </w:pPr>
      <w:r>
        <w:t xml:space="preserve">The performance of Web Designers will be assessed using the following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Design Quality</w:t>
            </w:r>
          </w:p>
        </w:tc>
        <w:tc>
          <w:tcPr/>
          <w:p>
            <w:pPr>
              <w:pStyle w:val="Compact"/>
              <w:jc w:val="left"/>
            </w:pPr>
            <w:r>
              <w:t xml:space="preserve">Aesthetic appeal, consistency, and alignment with brand identity.</w:t>
            </w:r>
          </w:p>
        </w:tc>
        <w:tc>
          <w:tcPr/>
          <w:p>
            <w:pPr>
              <w:pStyle w:val="Compact"/>
              <w:jc w:val="left"/>
            </w:pPr>
            <w:r>
              <w:t xml:space="preserve">25%</w:t>
            </w:r>
          </w:p>
        </w:tc>
      </w:tr>
      <w:tr>
        <w:tc>
          <w:tcPr/>
          <w:p>
            <w:pPr>
              <w:pStyle w:val="Compact"/>
              <w:jc w:val="left"/>
            </w:pPr>
            <w:r>
              <w:t xml:space="preserve">Technical Performance</w:t>
            </w:r>
          </w:p>
        </w:tc>
        <w:tc>
          <w:tcPr/>
          <w:p>
            <w:pPr>
              <w:pStyle w:val="Compact"/>
              <w:jc w:val="left"/>
            </w:pPr>
            <w:r>
              <w:t xml:space="preserve">Load speed, responsiveness, and code efficiency.</w:t>
            </w:r>
          </w:p>
        </w:tc>
        <w:tc>
          <w:tcPr/>
          <w:p>
            <w:pPr>
              <w:pStyle w:val="Compact"/>
              <w:jc w:val="left"/>
            </w:pPr>
            <w:r>
              <w:t xml:space="preserve">20%</w:t>
            </w:r>
          </w:p>
        </w:tc>
      </w:tr>
      <w:tr>
        <w:tc>
          <w:tcPr/>
          <w:p>
            <w:pPr>
              <w:pStyle w:val="Compact"/>
              <w:jc w:val="left"/>
            </w:pPr>
            <w:r>
              <w:t xml:space="preserve">Accessibility</w:t>
            </w:r>
          </w:p>
        </w:tc>
        <w:tc>
          <w:tcPr/>
          <w:p>
            <w:pPr>
              <w:pStyle w:val="Compact"/>
              <w:jc w:val="left"/>
            </w:pPr>
            <w:r>
              <w:t xml:space="preserve">Compliance with WCAG 2.1 guidelines.</w:t>
            </w:r>
          </w:p>
        </w:tc>
        <w:tc>
          <w:tcPr/>
          <w:p>
            <w:pPr>
              <w:pStyle w:val="Compact"/>
              <w:jc w:val="left"/>
            </w:pPr>
            <w:r>
              <w:t xml:space="preserve">15%</w:t>
            </w:r>
          </w:p>
        </w:tc>
      </w:tr>
      <w:tr>
        <w:tc>
          <w:tcPr/>
          <w:p>
            <w:pPr>
              <w:pStyle w:val="Compact"/>
              <w:jc w:val="left"/>
            </w:pPr>
            <w:r>
              <w:t xml:space="preserve">Regulatory Compliance</w:t>
            </w:r>
          </w:p>
        </w:tc>
        <w:tc>
          <w:tcPr/>
          <w:p>
            <w:pPr>
              <w:pStyle w:val="Compact"/>
              <w:jc w:val="left"/>
            </w:pPr>
            <w:r>
              <w:t xml:space="preserve">Adherence to GDPR and German legal requirements.</w:t>
            </w:r>
          </w:p>
        </w:tc>
        <w:tc>
          <w:tcPr/>
          <w:p>
            <w:pPr>
              <w:pStyle w:val="Compact"/>
              <w:jc w:val="left"/>
            </w:pPr>
            <w:r>
              <w:t xml:space="preserve">15%</w:t>
            </w:r>
          </w:p>
        </w:tc>
      </w:tr>
      <w:tr>
        <w:tc>
          <w:tcPr/>
          <w:p>
            <w:pPr>
              <w:pStyle w:val="Compact"/>
              <w:jc w:val="left"/>
            </w:pPr>
            <w:r>
              <w:t xml:space="preserve">User Experience</w:t>
            </w:r>
          </w:p>
        </w:tc>
        <w:tc>
          <w:tcPr/>
          <w:p>
            <w:pPr>
              <w:pStyle w:val="Compact"/>
              <w:jc w:val="left"/>
            </w:pPr>
            <w:r>
              <w:t xml:space="preserve">Intuitiveness, navigation, and engagement metrics.</w:t>
            </w:r>
          </w:p>
        </w:tc>
        <w:tc>
          <w:tcPr/>
          <w:p>
            <w:pPr>
              <w:pStyle w:val="Compact"/>
              <w:jc w:val="left"/>
            </w:pPr>
            <w:r>
              <w:t xml:space="preserve">15%</w:t>
            </w:r>
          </w:p>
        </w:tc>
      </w:tr>
      <w:tr>
        <w:tc>
          <w:tcPr/>
          <w:p>
            <w:pPr>
              <w:pStyle w:val="Compact"/>
              <w:jc w:val="left"/>
            </w:pPr>
            <w:r>
              <w:t xml:space="preserve">Cultural Adaptation</w:t>
            </w:r>
          </w:p>
        </w:tc>
        <w:tc>
          <w:tcPr/>
          <w:p>
            <w:pPr>
              <w:pStyle w:val="Compact"/>
              <w:jc w:val="left"/>
            </w:pPr>
            <w:r>
              <w:t xml:space="preserve">Relevance to Berlin’s local audience and multilingual support.</w:t>
            </w:r>
          </w:p>
        </w:tc>
        <w:tc>
          <w:tcPr/>
          <w:p>
            <w:pPr>
              <w:pStyle w:val="Compact"/>
              <w:jc w:val="left"/>
            </w:pPr>
            <w:r>
              <w:t xml:space="preserve">10%</w:t>
            </w:r>
          </w:p>
        </w:tc>
      </w:tr>
    </w:tbl>
    <w:bookmarkEnd w:id="26"/>
    <w:bookmarkStart w:id="27" w:name="timeline"/>
    <w:p>
      <w:pPr>
        <w:pStyle w:val="Heading2"/>
      </w:pPr>
      <w:r>
        <w:t xml:space="preserve">6. Timeline</w:t>
      </w:r>
    </w:p>
    <w:p>
      <w:pPr>
        <w:pStyle w:val="FirstParagraph"/>
      </w:pPr>
      <w:r>
        <w:t xml:space="preserve">The experiment will be conducted over a period of 12 weeks, divided into the following phases:</w:t>
      </w:r>
    </w:p>
    <w:p>
      <w:pPr>
        <w:numPr>
          <w:ilvl w:val="0"/>
          <w:numId w:val="1004"/>
        </w:numPr>
        <w:pStyle w:val="Compact"/>
      </w:pPr>
      <w:r>
        <w:rPr>
          <w:bCs/>
          <w:b/>
        </w:rPr>
        <w:t xml:space="preserve">Weeks 1–2:</w:t>
      </w:r>
      <w:r>
        <w:t xml:space="preserve"> </w:t>
      </w:r>
      <w:r>
        <w:t xml:space="preserve">Recruitment and onboarding of participants.</w:t>
      </w:r>
    </w:p>
    <w:p>
      <w:pPr>
        <w:numPr>
          <w:ilvl w:val="0"/>
          <w:numId w:val="1004"/>
        </w:numPr>
        <w:pStyle w:val="Compact"/>
      </w:pPr>
      <w:r>
        <w:rPr>
          <w:bCs/>
          <w:b/>
        </w:rPr>
        <w:t xml:space="preserve">Weeks 3–4:</w:t>
      </w:r>
      <w:r>
        <w:t xml:space="preserve"> </w:t>
      </w:r>
      <w:r>
        <w:t xml:space="preserve">Distribution of surveys and initial interviews.</w:t>
      </w:r>
    </w:p>
    <w:p>
      <w:pPr>
        <w:numPr>
          <w:ilvl w:val="0"/>
          <w:numId w:val="1004"/>
        </w:numPr>
        <w:pStyle w:val="Compact"/>
      </w:pPr>
      <w:r>
        <w:rPr>
          <w:bCs/>
          <w:b/>
        </w:rPr>
        <w:t xml:space="preserve">Weeks 5–8:</w:t>
      </w:r>
      <w:r>
        <w:t xml:space="preserve"> </w:t>
      </w:r>
      <w:r>
        <w:t xml:space="preserve">Execution of experimental design tasks.</w:t>
      </w:r>
    </w:p>
    <w:p>
      <w:pPr>
        <w:numPr>
          <w:ilvl w:val="0"/>
          <w:numId w:val="1004"/>
        </w:numPr>
        <w:pStyle w:val="Compact"/>
      </w:pPr>
      <w:r>
        <w:rPr>
          <w:bCs/>
          <w:b/>
        </w:rPr>
        <w:t xml:space="preserve">Weeks 9–10:</w:t>
      </w:r>
      <w:r>
        <w:t xml:space="preserve"> </w:t>
      </w:r>
      <w:r>
        <w:t xml:space="preserve">Data collection and technical analysis.</w:t>
      </w:r>
    </w:p>
    <w:p>
      <w:pPr>
        <w:numPr>
          <w:ilvl w:val="0"/>
          <w:numId w:val="1004"/>
        </w:numPr>
        <w:pStyle w:val="Compact"/>
      </w:pPr>
      <w:r>
        <w:rPr>
          <w:bCs/>
          <w:b/>
        </w:rPr>
        <w:t xml:space="preserve">Weeks 11–12:</w:t>
      </w:r>
      <w:r>
        <w:t xml:space="preserve"> </w:t>
      </w:r>
      <w:r>
        <w:t xml:space="preserve">Data analysis, reporting, and dissemination of findings.</w:t>
      </w:r>
    </w:p>
    <w:bookmarkEnd w:id="27"/>
    <w:bookmarkStart w:id="28" w:name="ethical-considerations"/>
    <w:p>
      <w:pPr>
        <w:pStyle w:val="Heading2"/>
      </w:pPr>
      <w:r>
        <w:t xml:space="preserve">7. Ethical Considerations</w:t>
      </w:r>
    </w:p>
    <w:p>
      <w:pPr>
        <w:pStyle w:val="FirstParagraph"/>
      </w:pPr>
      <w:r>
        <w:t xml:space="preserve">This experiment adheres to ethical standards for research involving human participants. All data will be anonymized, and participants will be informed about the purpose of the study, their rights, and how their data will be used. Consent forms will be provided in both German and English to ensure clarity. Compliance with GDPR will be strictly maintained throughout the data collection and analysis process.</w:t>
      </w:r>
    </w:p>
    <w:bookmarkEnd w:id="28"/>
    <w:bookmarkStart w:id="29" w:name="expected-outcomes"/>
    <w:p>
      <w:pPr>
        <w:pStyle w:val="Heading2"/>
      </w:pPr>
      <w:r>
        <w:t xml:space="preserve">8. Expected Outcomes</w:t>
      </w:r>
    </w:p>
    <w:p>
      <w:pPr>
        <w:pStyle w:val="FirstParagraph"/>
      </w:pPr>
      <w:r>
        <w:t xml:space="preserve">The results of this Experiment Protocol will provide valuable insights into the practices and challenges faced by Web Designers in Germany Berlin. Expected outcomes include:</w:t>
      </w:r>
    </w:p>
    <w:p>
      <w:pPr>
        <w:numPr>
          <w:ilvl w:val="0"/>
          <w:numId w:val="1005"/>
        </w:numPr>
        <w:pStyle w:val="Compact"/>
      </w:pPr>
      <w:r>
        <w:t xml:space="preserve">Identification of best practices for designing websites that meet local user expectations and legal requirements.</w:t>
      </w:r>
    </w:p>
    <w:p>
      <w:pPr>
        <w:numPr>
          <w:ilvl w:val="0"/>
          <w:numId w:val="1005"/>
        </w:numPr>
        <w:pStyle w:val="Compact"/>
      </w:pPr>
      <w:r>
        <w:t xml:space="preserve">Recommendations for improving design workflows and collaboration tools.</w:t>
      </w:r>
    </w:p>
    <w:p>
      <w:pPr>
        <w:numPr>
          <w:ilvl w:val="0"/>
          <w:numId w:val="1005"/>
        </w:numPr>
        <w:pStyle w:val="Compact"/>
      </w:pPr>
      <w:r>
        <w:t xml:space="preserve">Guidelines for enhancing accessibility and cultural relevance in web design.</w:t>
      </w:r>
    </w:p>
    <w:p>
      <w:pPr>
        <w:numPr>
          <w:ilvl w:val="0"/>
          <w:numId w:val="1005"/>
        </w:numPr>
        <w:pStyle w:val="Compact"/>
      </w:pPr>
      <w:r>
        <w:t xml:space="preserve">A benchmark for evaluating the performance of Web Designers in Berlin’s competitive market.</w:t>
      </w:r>
    </w:p>
    <w:p>
      <w:pPr>
        <w:pStyle w:val="FirstParagraph"/>
      </w:pPr>
      <w:r>
        <w:t xml:space="preserve">These findings will be shared with industry stakeholders, educational institutions, and policymakers to support the growth and professionalism of the web design field in Germany Berlin.</w:t>
      </w:r>
    </w:p>
    <w:bookmarkEnd w:id="29"/>
    <w:bookmarkStart w:id="30" w:name="conclusion"/>
    <w:p>
      <w:pPr>
        <w:pStyle w:val="Heading2"/>
      </w:pPr>
      <w:r>
        <w:t xml:space="preserve">9. Conclusion</w:t>
      </w:r>
    </w:p>
    <w:p>
      <w:pPr>
        <w:pStyle w:val="FirstParagraph"/>
      </w:pPr>
      <w:r>
        <w:t xml:space="preserve">This Experiment Protocol establishes a rigorous framework for studying the role and performance of Web Designers in Germany Berlin. By combining quantitative metrics with qualitative insights, the study aims to contribute to a deeper understanding of how design practices evolve in response to local and global influences. The outcomes will not only benefit individual designers but also strengthen the overall digital ecosystem of Berlin as a leading innovation hub.</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Analysis in Germany Berlin</dc:title>
  <dc:creator/>
  <dc:language>en</dc:language>
  <cp:keywords/>
  <dcterms:created xsi:type="dcterms:W3CDTF">2026-10-10T01:47:54Z</dcterms:created>
  <dcterms:modified xsi:type="dcterms:W3CDTF">2026-10-10T01:47:54Z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