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0" w:name="X2b98d7d75d3e8f94e169d8d2d60861f15980471"/>
    <w:p>
      <w:pPr>
        <w:pStyle w:val="Heading1"/>
      </w:pPr>
      <w:r>
        <w:t xml:space="preserve">Experiment Protocol: Web Designer Performance Analysis</w:t>
      </w:r>
    </w:p>
    <w:p>
      <w:pPr>
        <w:pStyle w:val="FirstParagraph"/>
      </w:pPr>
      <w:r>
        <w:rPr>
          <w:bCs/>
          <w:b/>
        </w:rPr>
        <w:t xml:space="preserve">Location:</w:t>
      </w:r>
      <w:r>
        <w:t xml:space="preserve"> </w:t>
      </w:r>
      <w:r>
        <w:t xml:space="preserve">Germany Frankfurt</w:t>
      </w:r>
    </w:p>
    <w:p>
      <w:pPr>
        <w:pStyle w:val="BodyText"/>
      </w:pPr>
      <w:r>
        <w:rPr>
          <w:bCs/>
          <w:b/>
        </w:rPr>
        <w:t xml:space="preserve">Subject:</w:t>
      </w:r>
      <w:r>
        <w:t xml:space="preserve"> </w:t>
      </w:r>
      <w:r>
        <w:t xml:space="preserve">Web Designer</w:t>
      </w:r>
    </w:p>
    <w:bookmarkEnd w:id="20"/>
    <w:p>
      <w:pPr>
        <w:pStyle w:val="BodyText"/>
      </w:pPr>
      <w:r>
        <w:rPr>
          <w:bCs/>
          <w:b/>
        </w:rPr>
        <w:t xml:space="preserve">Protocol ID:</w:t>
      </w:r>
      <w:r>
        <w:t xml:space="preserve"> </w:t>
      </w:r>
      <w:r>
        <w:t xml:space="preserve">EXP-FRA-WD-2023-001</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[Name Redacted]</w:t>
      </w:r>
    </w:p>
    <w:p>
      <w:pPr>
        <w:pStyle w:val="BodyText"/>
      </w:pPr>
      <w:r>
        <w:rPr>
          <w:bCs/>
          <w:b/>
        </w:rPr>
        <w:t xml:space="preserve">Organization:</w:t>
      </w:r>
      <w:r>
        <w:t xml:space="preserve"> </w:t>
      </w:r>
      <w:r>
        <w:t xml:space="preserve">Frankfurt Digital Research Institute</w:t>
      </w:r>
    </w:p>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creative output of a Web Designer operating within the specific economic and cultural context of Germany Frankfurt. Frankfurt am Main is a major financial hub and a center for digital innovation in Europe. The unique demands of this location, characterized by high-speed internet infrastructure, strict data protection regulations (GDPR), and a multilingual business environment, necessitate a tailored approach to evaluating web design competencies.</w:t>
      </w:r>
    </w:p>
    <w:p>
      <w:pPr>
        <w:pStyle w:val="BodyText"/>
      </w:pPr>
      <w:r>
        <w:t xml:space="preserve">The primary objective of this experiment is to determine how effectively a Web Designer can create responsive, accessible, and compliant websites that meet the expectations of Frankfurt-based clients. This includes adherence to German legal standards, such as the Telemediengesetz (TMG) and the Datenschutz-Grundverordnung (DSGVO), while maintaining high aesthetic and functional standards.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technical proficiency of the Web Designer in HTML5, CSS3, JavaScript, and modern frameworks.</w:t>
      </w:r>
    </w:p>
    <w:p>
      <w:pPr>
        <w:numPr>
          <w:ilvl w:val="0"/>
          <w:numId w:val="1001"/>
        </w:numPr>
        <w:pStyle w:val="Compact"/>
      </w:pPr>
      <w:r>
        <w:t xml:space="preserve">To assess the designer's ability to implement GDPR-compliant data handling practices in web forms and cookies.</w:t>
      </w:r>
    </w:p>
    <w:p>
      <w:pPr>
        <w:numPr>
          <w:ilvl w:val="0"/>
          <w:numId w:val="1001"/>
        </w:numPr>
        <w:pStyle w:val="Compact"/>
      </w:pPr>
      <w:r>
        <w:t xml:space="preserve">To measure the efficiency of the design process under time constraints typical of the Frankfurt business environment.</w:t>
      </w:r>
    </w:p>
    <w:p>
      <w:pPr>
        <w:numPr>
          <w:ilvl w:val="0"/>
          <w:numId w:val="1001"/>
        </w:numPr>
        <w:pStyle w:val="Compact"/>
      </w:pPr>
      <w:r>
        <w:t xml:space="preserve">To analyze the accessibility of the designed websites according to WCAG 2.1 guidelines, which are increasingly mandated in Germany.</w:t>
      </w:r>
    </w:p>
    <w:p>
      <w:pPr>
        <w:numPr>
          <w:ilvl w:val="0"/>
          <w:numId w:val="1001"/>
        </w:numPr>
        <w:pStyle w:val="Compact"/>
      </w:pPr>
      <w:r>
        <w:t xml:space="preserve">To determine the effectiveness of the Web Designer in creating multilingual interfaces (German and English) for international clients.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of 10 Web Designers based in Germany Frankfurt. Participants will be selected based on their experience level (junior, mid-level, senior) and their familiarity with the local market. All participants will sign a consent form in accordance with German labor laws.</w:t>
      </w:r>
    </w:p>
    <w:bookmarkEnd w:id="23"/>
    <w:bookmarkStart w:id="24" w:name="experimental-design"/>
    <w:p>
      <w:pPr>
        <w:pStyle w:val="Heading3"/>
      </w:pPr>
      <w:r>
        <w:t xml:space="preserve">3.2 Experimental Design</w:t>
      </w:r>
    </w:p>
    <w:p>
      <w:pPr>
        <w:pStyle w:val="FirstParagraph"/>
      </w:pPr>
      <w:r>
        <w:t xml:space="preserve">The experiment will be conducted in a controlled environment using a standardized task. Each Web Designer will be given a brief to design and develop a landing page for a fictional financial services company based in Frankfurt. The brief will include specific requirements for:</w:t>
      </w:r>
    </w:p>
    <w:p>
      <w:pPr>
        <w:numPr>
          <w:ilvl w:val="0"/>
          <w:numId w:val="1002"/>
        </w:numPr>
        <w:pStyle w:val="Compact"/>
      </w:pPr>
      <w:r>
        <w:t xml:space="preserve">Responsive design for mobile, tablet, and desktop devices.</w:t>
      </w:r>
    </w:p>
    <w:p>
      <w:pPr>
        <w:numPr>
          <w:ilvl w:val="0"/>
          <w:numId w:val="1002"/>
        </w:numPr>
        <w:pStyle w:val="Compact"/>
      </w:pPr>
      <w:r>
        <w:t xml:space="preserve">Integration of a GDPR-compliant contact form.</w:t>
      </w:r>
    </w:p>
    <w:p>
      <w:pPr>
        <w:numPr>
          <w:ilvl w:val="0"/>
          <w:numId w:val="1002"/>
        </w:numPr>
        <w:pStyle w:val="Compact"/>
      </w:pPr>
      <w:r>
        <w:t xml:space="preserve">Use of German and English language options.</w:t>
      </w:r>
    </w:p>
    <w:p>
      <w:pPr>
        <w:numPr>
          <w:ilvl w:val="0"/>
          <w:numId w:val="1002"/>
        </w:numPr>
        <w:pStyle w:val="Compact"/>
      </w:pPr>
      <w:r>
        <w:t xml:space="preserve">Adherence to a provided brand style guide.</w:t>
      </w:r>
    </w:p>
    <w:bookmarkEnd w:id="24"/>
    <w:bookmarkStart w:id="25" w:name="procedure"/>
    <w:p>
      <w:pPr>
        <w:pStyle w:val="Heading3"/>
      </w:pPr>
      <w:r>
        <w:t xml:space="preserve">3.3 Procedure</w:t>
      </w:r>
    </w:p>
    <w:p>
      <w:pPr>
        <w:pStyle w:val="FirstParagraph"/>
      </w:pPr>
      <w:r>
        <w:t xml:space="preserve">The procedure will be divided into three phases:</w:t>
      </w:r>
    </w:p>
    <w:p>
      <w:pPr>
        <w:numPr>
          <w:ilvl w:val="0"/>
          <w:numId w:val="1003"/>
        </w:numPr>
        <w:pStyle w:val="Compact"/>
      </w:pPr>
      <w:r>
        <w:rPr>
          <w:bCs/>
          <w:b/>
        </w:rPr>
        <w:t xml:space="preserve">Preparation Phase:</w:t>
      </w:r>
      <w:r>
        <w:t xml:space="preserve"> </w:t>
      </w:r>
      <w:r>
        <w:t xml:space="preserve">Participants will receive the project brief and have 2 hours to plan their approach.</w:t>
      </w:r>
    </w:p>
    <w:p>
      <w:pPr>
        <w:numPr>
          <w:ilvl w:val="0"/>
          <w:numId w:val="1003"/>
        </w:numPr>
        <w:pStyle w:val="Compact"/>
      </w:pPr>
      <w:r>
        <w:rPr>
          <w:bCs/>
          <w:b/>
        </w:rPr>
        <w:t xml:space="preserve">Execution Phase:</w:t>
      </w:r>
      <w:r>
        <w:t xml:space="preserve"> </w:t>
      </w:r>
      <w:r>
        <w:t xml:space="preserve">Participants will have 8 hours to design and develop the landing page. They will be monitored for time management and problem-solving skills.</w:t>
      </w:r>
    </w:p>
    <w:p>
      <w:pPr>
        <w:numPr>
          <w:ilvl w:val="0"/>
          <w:numId w:val="1003"/>
        </w:numPr>
        <w:pStyle w:val="Compact"/>
      </w:pPr>
      <w:r>
        <w:rPr>
          <w:bCs/>
          <w:b/>
        </w:rPr>
        <w:t xml:space="preserve">Evaluation Phase:</w:t>
      </w:r>
      <w:r>
        <w:t xml:space="preserve"> </w:t>
      </w:r>
      <w:r>
        <w:t xml:space="preserve">The completed websites will be evaluated by a panel of experts using a standardized scoring rubric.</w:t>
      </w:r>
    </w:p>
    <w:bookmarkEnd w:id="25"/>
    <w:bookmarkEnd w:id="26"/>
    <w:bookmarkStart w:id="27" w:name="data-collection"/>
    <w:p>
      <w:pPr>
        <w:pStyle w:val="Heading2"/>
      </w:pPr>
      <w:r>
        <w:t xml:space="preserve">4. Data Collection</w:t>
      </w:r>
    </w:p>
    <w:p>
      <w:pPr>
        <w:pStyle w:val="FirstParagraph"/>
      </w:pPr>
      <w:r>
        <w:t xml:space="preserve">Data will be collected through the following methods:</w:t>
      </w:r>
    </w:p>
    <w:p>
      <w:pPr>
        <w:numPr>
          <w:ilvl w:val="0"/>
          <w:numId w:val="1004"/>
        </w:numPr>
        <w:pStyle w:val="Compact"/>
      </w:pPr>
      <w:r>
        <w:rPr>
          <w:bCs/>
          <w:b/>
        </w:rPr>
        <w:t xml:space="preserve">Time Tracking:</w:t>
      </w:r>
      <w:r>
        <w:t xml:space="preserve"> </w:t>
      </w:r>
      <w:r>
        <w:t xml:space="preserve">The time taken to complete each phase of the project will be recorded.</w:t>
      </w:r>
    </w:p>
    <w:p>
      <w:pPr>
        <w:numPr>
          <w:ilvl w:val="0"/>
          <w:numId w:val="1004"/>
        </w:numPr>
        <w:pStyle w:val="Compact"/>
      </w:pPr>
      <w:r>
        <w:rPr>
          <w:bCs/>
          <w:b/>
        </w:rPr>
        <w:t xml:space="preserve">Code Quality Analysis:</w:t>
      </w:r>
      <w:r>
        <w:t xml:space="preserve"> </w:t>
      </w:r>
      <w:r>
        <w:t xml:space="preserve">The HTML, CSS, and JavaScript code will be reviewed for best practices, efficiency, and compliance.</w:t>
      </w:r>
    </w:p>
    <w:p>
      <w:pPr>
        <w:numPr>
          <w:ilvl w:val="0"/>
          <w:numId w:val="1004"/>
        </w:numPr>
        <w:pStyle w:val="Compact"/>
      </w:pPr>
      <w:r>
        <w:rPr>
          <w:bCs/>
          <w:b/>
        </w:rPr>
        <w:t xml:space="preserve">Usability Testing:</w:t>
      </w:r>
      <w:r>
        <w:t xml:space="preserve"> </w:t>
      </w:r>
      <w:r>
        <w:t xml:space="preserve">The websites will be tested with a small group of users to assess ease of use and navigation.</w:t>
      </w:r>
    </w:p>
    <w:p>
      <w:pPr>
        <w:numPr>
          <w:ilvl w:val="0"/>
          <w:numId w:val="1004"/>
        </w:numPr>
        <w:pStyle w:val="Compact"/>
      </w:pPr>
      <w:r>
        <w:rPr>
          <w:bCs/>
          <w:b/>
        </w:rPr>
        <w:t xml:space="preserve">Compliance Check:</w:t>
      </w:r>
      <w:r>
        <w:t xml:space="preserve"> </w:t>
      </w:r>
      <w:r>
        <w:t xml:space="preserve">A legal expert will review the websites for GDPR and TMG compliance.</w:t>
      </w:r>
    </w:p>
    <w:bookmarkEnd w:id="27"/>
    <w:bookmarkStart w:id="28" w:name="evaluation-criteria"/>
    <w:p>
      <w:pPr>
        <w:pStyle w:val="Heading2"/>
      </w:pPr>
      <w:r>
        <w:t xml:space="preserve">5. Evaluation Criteria</w:t>
      </w:r>
    </w:p>
    <w:p>
      <w:pPr>
        <w:pStyle w:val="FirstParagraph"/>
      </w:pPr>
      <w:r>
        <w:t xml:space="preserve">The performance of each Web Designer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Description</w:t>
            </w:r>
          </w:p>
        </w:tc>
      </w:tr>
      <w:tr>
        <w:tc>
          <w:tcPr/>
          <w:p>
            <w:pPr>
              <w:pStyle w:val="Compact"/>
              <w:jc w:val="left"/>
            </w:pPr>
            <w:r>
              <w:t xml:space="preserve">Technical Proficiency</w:t>
            </w:r>
          </w:p>
        </w:tc>
        <w:tc>
          <w:tcPr/>
          <w:p>
            <w:pPr>
              <w:pStyle w:val="Compact"/>
              <w:jc w:val="left"/>
            </w:pPr>
            <w:r>
              <w:t xml:space="preserve">30%</w:t>
            </w:r>
          </w:p>
        </w:tc>
        <w:tc>
          <w:tcPr/>
          <w:p>
            <w:pPr>
              <w:pStyle w:val="Compact"/>
              <w:jc w:val="left"/>
            </w:pPr>
            <w:r>
              <w:t xml:space="preserve">Quality of code, use of modern standards, and functionality.</w:t>
            </w:r>
          </w:p>
        </w:tc>
      </w:tr>
      <w:tr>
        <w:tc>
          <w:tcPr/>
          <w:p>
            <w:pPr>
              <w:pStyle w:val="Compact"/>
              <w:jc w:val="left"/>
            </w:pPr>
            <w:r>
              <w:t xml:space="preserve">Design Quality</w:t>
            </w:r>
          </w:p>
        </w:tc>
        <w:tc>
          <w:tcPr/>
          <w:p>
            <w:pPr>
              <w:pStyle w:val="Compact"/>
              <w:jc w:val="left"/>
            </w:pPr>
            <w:r>
              <w:t xml:space="preserve">25%</w:t>
            </w:r>
          </w:p>
        </w:tc>
        <w:tc>
          <w:tcPr/>
          <w:p>
            <w:pPr>
              <w:pStyle w:val="Compact"/>
              <w:jc w:val="left"/>
            </w:pPr>
            <w:r>
              <w:t xml:space="preserve">Aesthetic appeal, alignment with brand guidelines, and user experience.</w:t>
            </w:r>
          </w:p>
        </w:tc>
      </w:tr>
      <w:tr>
        <w:tc>
          <w:tcPr/>
          <w:p>
            <w:pPr>
              <w:pStyle w:val="Compact"/>
              <w:jc w:val="left"/>
            </w:pPr>
            <w:r>
              <w:t xml:space="preserve">Compliance</w:t>
            </w:r>
          </w:p>
        </w:tc>
        <w:tc>
          <w:tcPr/>
          <w:p>
            <w:pPr>
              <w:pStyle w:val="Compact"/>
              <w:jc w:val="left"/>
            </w:pPr>
            <w:r>
              <w:t xml:space="preserve">20%</w:t>
            </w:r>
          </w:p>
        </w:tc>
        <w:tc>
          <w:tcPr/>
          <w:p>
            <w:pPr>
              <w:pStyle w:val="Compact"/>
              <w:jc w:val="left"/>
            </w:pPr>
            <w:r>
              <w:t xml:space="preserve">Adherence to GDPR, TMG, and accessibility standards.</w:t>
            </w:r>
          </w:p>
        </w:tc>
      </w:tr>
      <w:tr>
        <w:tc>
          <w:tcPr/>
          <w:p>
            <w:pPr>
              <w:pStyle w:val="Compact"/>
              <w:jc w:val="left"/>
            </w:pPr>
            <w:r>
              <w:t xml:space="preserve">Efficiency</w:t>
            </w:r>
          </w:p>
        </w:tc>
        <w:tc>
          <w:tcPr/>
          <w:p>
            <w:pPr>
              <w:pStyle w:val="Compact"/>
              <w:jc w:val="left"/>
            </w:pPr>
            <w:r>
              <w:t xml:space="preserve">15%</w:t>
            </w:r>
          </w:p>
        </w:tc>
        <w:tc>
          <w:tcPr/>
          <w:p>
            <w:pPr>
              <w:pStyle w:val="Compact"/>
              <w:jc w:val="left"/>
            </w:pPr>
            <w:r>
              <w:t xml:space="preserve">Time management and ability to meet deadlines.</w:t>
            </w:r>
          </w:p>
        </w:tc>
      </w:tr>
      <w:tr>
        <w:tc>
          <w:tcPr/>
          <w:p>
            <w:pPr>
              <w:pStyle w:val="Compact"/>
              <w:jc w:val="left"/>
            </w:pPr>
            <w:r>
              <w:t xml:space="preserve">Multilingual Support</w:t>
            </w:r>
          </w:p>
        </w:tc>
        <w:tc>
          <w:tcPr/>
          <w:p>
            <w:pPr>
              <w:pStyle w:val="Compact"/>
              <w:jc w:val="left"/>
            </w:pPr>
            <w:r>
              <w:t xml:space="preserve">10%</w:t>
            </w:r>
          </w:p>
        </w:tc>
        <w:tc>
          <w:tcPr/>
          <w:p>
            <w:pPr>
              <w:pStyle w:val="Compact"/>
              <w:jc w:val="left"/>
            </w:pPr>
            <w:r>
              <w:t xml:space="preserve">Effectiveness of German and English language integration.</w:t>
            </w:r>
          </w:p>
        </w:tc>
      </w:tr>
    </w:tbl>
    <w:bookmarkEnd w:id="28"/>
    <w:bookmarkStart w:id="29" w:name="ethical-considerations"/>
    <w:p>
      <w:pPr>
        <w:pStyle w:val="Heading2"/>
      </w:pPr>
      <w:r>
        <w:t xml:space="preserve">6. Ethical Considerations</w:t>
      </w:r>
    </w:p>
    <w:p>
      <w:pPr>
        <w:pStyle w:val="FirstParagraph"/>
      </w:pPr>
      <w:r>
        <w:t xml:space="preserve">This experiment will be conducted in accordance with ethical guidelines for research involving human subjects. All participants will be informed of the purpose of the study and their rights, including the right to withdraw at any time. Data collected will be anonymized and stored securely in compliance with German data protection laws. The results of the experiment will be used solely for research purposes and will not affect the employment status of the participants.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Web Designer in the context of Germany Frankfurt. By focusing on technical skills, compliance, and efficiency, the experiment aims to generate valuable insights into the competencies required for success in this dynamic market. The findings will contribute to the development of training programs and best practices for web design in Frankfurt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Germany Frankfurt</dc:title>
  <dc:creator/>
  <dc:language>en</dc:language>
  <cp:keywords/>
  <dcterms:created xsi:type="dcterms:W3CDTF">2026-10-10T00:33:48Z</dcterms:created>
  <dcterms:modified xsi:type="dcterms:W3CDTF">2026-10-10T00:33:48Z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