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Germany</w:t>
      </w:r>
      <w:r>
        <w:t xml:space="preserve"> </w:t>
      </w:r>
      <w:r>
        <w:t xml:space="preserve">Munich</w:t>
      </w:r>
    </w:p>
    <w:bookmarkStart w:id="20" w:name="X59159bce5dd90047f313afb8b809e8d258d9c32"/>
    <w:p>
      <w:pPr>
        <w:pStyle w:val="Heading1"/>
      </w:pPr>
      <w:r>
        <w:t xml:space="preserve">Experiment Protocol: Web Designer Performance and User Experience Optimization</w:t>
      </w:r>
    </w:p>
    <w:p>
      <w:pPr>
        <w:pStyle w:val="FirstParagraph"/>
      </w:pPr>
      <w:r>
        <w:rPr>
          <w:bCs/>
          <w:b/>
        </w:rPr>
        <w:t xml:space="preserve">Location:</w:t>
      </w:r>
      <w:r>
        <w:t xml:space="preserve"> </w:t>
      </w:r>
      <w:r>
        <w:t xml:space="preserve">Germany Munich</w:t>
      </w:r>
    </w:p>
    <w:p>
      <w:pPr>
        <w:pStyle w:val="BodyText"/>
      </w:pPr>
      <w:r>
        <w:rPr>
          <w:bCs/>
          <w:b/>
        </w:rPr>
        <w:t xml:space="preserve">Document ID:</w:t>
      </w:r>
      <w:r>
        <w:t xml:space="preserve"> </w:t>
      </w:r>
      <w:r>
        <w:t xml:space="preserve">EXP-WD-MUC-2023-001</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p>
      <w:pPr>
        <w:pStyle w:val="BodyText"/>
      </w:pPr>
      <w:r>
        <w:t xml:space="preserve">1. Introduction and Background</w:t>
      </w:r>
    </w:p>
    <w:p>
      <w:pPr>
        <w:pStyle w:val="BodyText"/>
      </w:pPr>
      <w:r>
        <w:t xml:space="preserve">This Experiment Protocol outlines the methodology for evaluating the performance, design decisions, and user experience outcomes produced by Web Designers operating within the Germany Munich tech ecosystem. Munich is recognized as a leading hub for technology, innovation, and digital transformation in Europe. As such, the standards for web design, usability, and performance are exceptionally high. This protocol aims to systematically assess how Web Designers in this region adhere to best practices, integrate local user expectations, and comply with international and European regulations.</w:t>
      </w:r>
    </w:p>
    <w:p>
      <w:pPr>
        <w:pStyle w:val="BodyText"/>
      </w:pPr>
      <w:r>
        <w:t xml:space="preserve">The experiment will focus on measuring key performance indicators (KPIs) related to web design quality, including load times, responsiveness, accessibility, visual hierarchy, and conversion optimization. By conducting this experiment in Germany Munich, we can gain insights into how regional factors, such as user behavior, regulatory requirements (e.g., GDPR), and cultural preferences, influence web design practices.</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evaluate the technical proficiency of Web Designers in Germany Munich in creating high-performance websites.</w:t>
      </w:r>
    </w:p>
    <w:p>
      <w:pPr>
        <w:numPr>
          <w:ilvl w:val="0"/>
          <w:numId w:val="1001"/>
        </w:numPr>
        <w:pStyle w:val="Compact"/>
      </w:pPr>
      <w:r>
        <w:t xml:space="preserve">To assess the alignment of web design practices with user experience (UX) best practices and local user expectations.</w:t>
      </w:r>
    </w:p>
    <w:p>
      <w:pPr>
        <w:numPr>
          <w:ilvl w:val="0"/>
          <w:numId w:val="1001"/>
        </w:numPr>
        <w:pStyle w:val="Compact"/>
      </w:pPr>
      <w:r>
        <w:t xml:space="preserve">To measure compliance with accessibility standards (WCAG 2.1) and data protection regulations (GDPR).</w:t>
      </w:r>
    </w:p>
    <w:p>
      <w:pPr>
        <w:numPr>
          <w:ilvl w:val="0"/>
          <w:numId w:val="1001"/>
        </w:numPr>
        <w:pStyle w:val="Compact"/>
      </w:pPr>
      <w:r>
        <w:t xml:space="preserve">To identify trends and patterns in web design approaches specific to the Munich market.</w:t>
      </w:r>
    </w:p>
    <w:p>
      <w:pPr>
        <w:numPr>
          <w:ilvl w:val="0"/>
          <w:numId w:val="1001"/>
        </w:numPr>
        <w:pStyle w:val="Compact"/>
      </w:pPr>
      <w:r>
        <w:t xml:space="preserve">To provide actionable recommendations for improving web design practices in the region.</w:t>
      </w:r>
    </w:p>
    <w:p>
      <w:pPr>
        <w:pStyle w:val="FirstParagraph"/>
      </w:pPr>
      <w:r>
        <w:t xml:space="preserve">3. Methodology</w:t>
      </w:r>
    </w:p>
    <w:p>
      <w:pPr>
        <w:pStyle w:val="BodyText"/>
      </w:pPr>
      <w:r>
        <w:t xml:space="preserve">The experiment will be conducted in three phases: preparation, execution, and analysis. Each phase is designed to ensure rigorous data collection and accurate evaluation of Web Designer performance.</w:t>
      </w:r>
    </w:p>
    <w:bookmarkStart w:id="21" w:name="phase-1-preparation"/>
    <w:p>
      <w:pPr>
        <w:pStyle w:val="Heading3"/>
      </w:pPr>
      <w:r>
        <w:t xml:space="preserve">3.1 Phase 1: Preparation</w:t>
      </w:r>
    </w:p>
    <w:p>
      <w:pPr>
        <w:numPr>
          <w:ilvl w:val="0"/>
          <w:numId w:val="1002"/>
        </w:numPr>
        <w:pStyle w:val="Compact"/>
      </w:pPr>
      <w:r>
        <w:rPr>
          <w:bCs/>
          <w:b/>
        </w:rPr>
        <w:t xml:space="preserve">Selection of Participants:</w:t>
      </w:r>
      <w:r>
        <w:t xml:space="preserve"> </w:t>
      </w:r>
      <w:r>
        <w:t xml:space="preserve">A sample of 20 Web Designers from Germany Munich will be selected based on their experience level, portfolio quality, and client feedback.</w:t>
      </w:r>
    </w:p>
    <w:p>
      <w:pPr>
        <w:numPr>
          <w:ilvl w:val="0"/>
          <w:numId w:val="1002"/>
        </w:numPr>
        <w:pStyle w:val="Compact"/>
      </w:pPr>
      <w:r>
        <w:rPr>
          <w:bCs/>
          <w:b/>
        </w:rPr>
        <w:t xml:space="preserve">Task Definition:</w:t>
      </w:r>
      <w:r>
        <w:t xml:space="preserve"> </w:t>
      </w:r>
      <w:r>
        <w:t xml:space="preserve">Each Web Designer will be assigned a standardized project brief to design and develop a responsive website for a fictional Munich-based startup. The brief will include specific requirements for functionality, aesthetics, and performance.</w:t>
      </w:r>
    </w:p>
    <w:p>
      <w:pPr>
        <w:numPr>
          <w:ilvl w:val="0"/>
          <w:numId w:val="1002"/>
        </w:numPr>
        <w:pStyle w:val="Compact"/>
      </w:pPr>
      <w:r>
        <w:rPr>
          <w:bCs/>
          <w:b/>
        </w:rPr>
        <w:t xml:space="preserve">Tools and Resources:</w:t>
      </w:r>
      <w:r>
        <w:t xml:space="preserve"> </w:t>
      </w:r>
      <w:r>
        <w:t xml:space="preserve">Participants will be provided with access to common web design tools (e.g., Figma, Adobe XD, VS Code) and a shared repository for assets and documentation.</w:t>
      </w:r>
    </w:p>
    <w:bookmarkEnd w:id="21"/>
    <w:bookmarkStart w:id="22" w:name="phase-2-execution"/>
    <w:p>
      <w:pPr>
        <w:pStyle w:val="Heading3"/>
      </w:pPr>
      <w:r>
        <w:t xml:space="preserve">3.2 Phase 2: Execution</w:t>
      </w:r>
    </w:p>
    <w:p>
      <w:pPr>
        <w:numPr>
          <w:ilvl w:val="0"/>
          <w:numId w:val="1003"/>
        </w:numPr>
        <w:pStyle w:val="Compact"/>
      </w:pPr>
      <w:r>
        <w:rPr>
          <w:bCs/>
          <w:b/>
        </w:rPr>
        <w:t xml:space="preserve">Design and Development:</w:t>
      </w:r>
      <w:r>
        <w:t xml:space="preserve"> </w:t>
      </w:r>
      <w:r>
        <w:t xml:space="preserve">Web Designers will have four weeks to complete their projects. Progress will be monitored through weekly check-ins and milestone reviews.</w:t>
      </w:r>
    </w:p>
    <w:p>
      <w:pPr>
        <w:numPr>
          <w:ilvl w:val="0"/>
          <w:numId w:val="1003"/>
        </w:numPr>
        <w:pStyle w:val="Compact"/>
      </w:pPr>
      <w:r>
        <w:rPr>
          <w:bCs/>
          <w:b/>
        </w:rPr>
        <w:t xml:space="preserve">Testing:</w:t>
      </w:r>
      <w:r>
        <w:t xml:space="preserve"> </w:t>
      </w:r>
      <w:r>
        <w:t xml:space="preserve">Upon completion, each website will undergo automated and manual testing using tools such as Google Lighthouse, WebPageTest, and axe DevTools to evaluate performance, accessibility, and SEO.</w:t>
      </w:r>
    </w:p>
    <w:p>
      <w:pPr>
        <w:numPr>
          <w:ilvl w:val="0"/>
          <w:numId w:val="1003"/>
        </w:numPr>
        <w:pStyle w:val="Compact"/>
      </w:pPr>
      <w:r>
        <w:rPr>
          <w:bCs/>
          <w:b/>
        </w:rPr>
        <w:t xml:space="preserve">User Testing:</w:t>
      </w:r>
      <w:r>
        <w:t xml:space="preserve"> </w:t>
      </w:r>
      <w:r>
        <w:t xml:space="preserve">A panel of 50 users from Germany Munich will interact with each website to provide feedback on usability, visual appeal, and overall experience.</w:t>
      </w:r>
    </w:p>
    <w:bookmarkEnd w:id="22"/>
    <w:bookmarkStart w:id="23" w:name="phase-3-analysis"/>
    <w:p>
      <w:pPr>
        <w:pStyle w:val="Heading3"/>
      </w:pPr>
      <w:r>
        <w:t xml:space="preserve">3.3 Phase 3: Analysis</w:t>
      </w:r>
    </w:p>
    <w:p>
      <w:pPr>
        <w:numPr>
          <w:ilvl w:val="0"/>
          <w:numId w:val="1004"/>
        </w:numPr>
        <w:pStyle w:val="Compact"/>
      </w:pPr>
      <w:r>
        <w:rPr>
          <w:bCs/>
          <w:b/>
        </w:rPr>
        <w:t xml:space="preserve">Data Collection:</w:t>
      </w:r>
      <w:r>
        <w:t xml:space="preserve"> </w:t>
      </w:r>
      <w:r>
        <w:t xml:space="preserve">Quantitative data (e.g., load times, error rates) and qualitative data (e.g., user feedback, designer reflections) will be collected and organized.</w:t>
      </w:r>
    </w:p>
    <w:p>
      <w:pPr>
        <w:numPr>
          <w:ilvl w:val="0"/>
          <w:numId w:val="1004"/>
        </w:numPr>
        <w:pStyle w:val="Compact"/>
      </w:pPr>
      <w:r>
        <w:rPr>
          <w:bCs/>
          <w:b/>
        </w:rPr>
        <w:t xml:space="preserve">Evaluation Criteria:</w:t>
      </w:r>
      <w:r>
        <w:t xml:space="preserve"> </w:t>
      </w:r>
      <w:r>
        <w:t xml:space="preserve">Websites will be scored based on predefined criteria, including performance metrics, design quality, accessibility compliance, and user satisfaction.</w:t>
      </w:r>
    </w:p>
    <w:p>
      <w:pPr>
        <w:numPr>
          <w:ilvl w:val="0"/>
          <w:numId w:val="1004"/>
        </w:numPr>
        <w:pStyle w:val="Compact"/>
      </w:pPr>
      <w:r>
        <w:rPr>
          <w:bCs/>
          <w:b/>
        </w:rPr>
        <w:t xml:space="preserve">Reporting:</w:t>
      </w:r>
      <w:r>
        <w:t xml:space="preserve"> </w:t>
      </w:r>
      <w:r>
        <w:t xml:space="preserve">Results will be compiled into a comprehensive report highlighting key findings, trends, and recommendations.</w:t>
      </w:r>
    </w:p>
    <w:bookmarkEnd w:id="23"/>
    <w:p>
      <w:pPr>
        <w:pStyle w:val="FirstParagraph"/>
      </w:pPr>
      <w:r>
        <w:t xml:space="preserve">4. Evaluation Criteria</w:t>
      </w:r>
    </w:p>
    <w:p>
      <w:pPr>
        <w:pStyle w:val="BodyText"/>
      </w:pPr>
      <w:r>
        <w:t xml:space="preserve">The following criteria will be used to evaluate the performance of Web Designers and the quality of their work:</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Performance</w:t>
            </w:r>
          </w:p>
        </w:tc>
        <w:tc>
          <w:tcPr/>
          <w:p>
            <w:pPr>
              <w:pStyle w:val="Compact"/>
              <w:jc w:val="left"/>
            </w:pPr>
            <w:r>
              <w:t xml:space="preserve">Load times, responsiveness, and optimization techniques.</w:t>
            </w:r>
          </w:p>
        </w:tc>
        <w:tc>
          <w:tcPr/>
          <w:p>
            <w:pPr>
              <w:pStyle w:val="Compact"/>
              <w:jc w:val="left"/>
            </w:pPr>
            <w:r>
              <w:t xml:space="preserve">25%</w:t>
            </w:r>
          </w:p>
        </w:tc>
      </w:tr>
      <w:tr>
        <w:tc>
          <w:tcPr/>
          <w:p>
            <w:pPr>
              <w:pStyle w:val="Compact"/>
              <w:jc w:val="left"/>
            </w:pPr>
            <w:r>
              <w:t xml:space="preserve">Design Quality</w:t>
            </w:r>
          </w:p>
        </w:tc>
        <w:tc>
          <w:tcPr/>
          <w:p>
            <w:pPr>
              <w:pStyle w:val="Compact"/>
              <w:jc w:val="left"/>
            </w:pPr>
            <w:r>
              <w:t xml:space="preserve">Visual hierarchy, consistency, and alignment with brand guidelines.</w:t>
            </w:r>
          </w:p>
        </w:tc>
        <w:tc>
          <w:tcPr/>
          <w:p>
            <w:pPr>
              <w:pStyle w:val="Compact"/>
              <w:jc w:val="left"/>
            </w:pPr>
            <w:r>
              <w:t xml:space="preserve">20%</w:t>
            </w:r>
          </w:p>
        </w:tc>
      </w:tr>
      <w:tr>
        <w:tc>
          <w:tcPr/>
          <w:p>
            <w:pPr>
              <w:pStyle w:val="Compact"/>
              <w:jc w:val="left"/>
            </w:pPr>
            <w:r>
              <w:t xml:space="preserve">Accessibility</w:t>
            </w:r>
          </w:p>
        </w:tc>
        <w:tc>
          <w:tcPr/>
          <w:p>
            <w:pPr>
              <w:pStyle w:val="Compact"/>
              <w:jc w:val="left"/>
            </w:pPr>
            <w:r>
              <w:t xml:space="preserve">Compliance with WCAG 2.1 standards and inclusive design practices.</w:t>
            </w:r>
          </w:p>
        </w:tc>
        <w:tc>
          <w:tcPr/>
          <w:p>
            <w:pPr>
              <w:pStyle w:val="Compact"/>
              <w:jc w:val="left"/>
            </w:pPr>
            <w:r>
              <w:t xml:space="preserve">20%</w:t>
            </w:r>
          </w:p>
        </w:tc>
      </w:tr>
      <w:tr>
        <w:tc>
          <w:tcPr/>
          <w:p>
            <w:pPr>
              <w:pStyle w:val="Compact"/>
              <w:jc w:val="left"/>
            </w:pPr>
            <w:r>
              <w:t xml:space="preserve">User Experience</w:t>
            </w:r>
          </w:p>
        </w:tc>
        <w:tc>
          <w:tcPr/>
          <w:p>
            <w:pPr>
              <w:pStyle w:val="Compact"/>
              <w:jc w:val="left"/>
            </w:pPr>
            <w:r>
              <w:t xml:space="preserve">Usability, navigation, and overall user satisfaction.</w:t>
            </w:r>
          </w:p>
        </w:tc>
        <w:tc>
          <w:tcPr/>
          <w:p>
            <w:pPr>
              <w:pStyle w:val="Compact"/>
              <w:jc w:val="left"/>
            </w:pPr>
            <w:r>
              <w:t xml:space="preserve">20%</w:t>
            </w:r>
          </w:p>
        </w:tc>
      </w:tr>
      <w:tr>
        <w:tc>
          <w:tcPr/>
          <w:p>
            <w:pPr>
              <w:pStyle w:val="Compact"/>
              <w:jc w:val="left"/>
            </w:pPr>
            <w:r>
              <w:t xml:space="preserve">Compliance</w:t>
            </w:r>
          </w:p>
        </w:tc>
        <w:tc>
          <w:tcPr/>
          <w:p>
            <w:pPr>
              <w:pStyle w:val="Compact"/>
              <w:jc w:val="left"/>
            </w:pPr>
            <w:r>
              <w:t xml:space="preserve">Adherence to GDPR and other relevant regulations.</w:t>
            </w:r>
          </w:p>
        </w:tc>
        <w:tc>
          <w:tcPr/>
          <w:p>
            <w:pPr>
              <w:pStyle w:val="Compact"/>
              <w:jc w:val="left"/>
            </w:pPr>
            <w:r>
              <w:t xml:space="preserve">15%</w:t>
            </w:r>
          </w:p>
        </w:tc>
      </w:tr>
    </w:tbl>
    <w:p>
      <w:pPr>
        <w:pStyle w:val="BodyText"/>
      </w:pPr>
      <w:r>
        <w:t xml:space="preserve">5. Ethical Considerations</w:t>
      </w:r>
    </w:p>
    <w:p>
      <w:pPr>
        <w:pStyle w:val="BodyText"/>
      </w:pPr>
      <w:r>
        <w:t xml:space="preserve">This experiment will adhere to ethical guidelines to ensure the well-being and rights of all participants. Informed consent will be obtained from all Web Designers and users involved. Data collected during the experiment will be anonymized and stored securely in compliance with GDPR requirements. Participants will have the right to withdraw from the experiment at any time without penalty.</w:t>
      </w:r>
    </w:p>
    <w:p>
      <w:pPr>
        <w:pStyle w:val="BodyText"/>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Participant selection, task definition, tool setup.</w:t>
            </w:r>
          </w:p>
        </w:tc>
      </w:tr>
      <w:tr>
        <w:tc>
          <w:tcPr/>
          <w:p>
            <w:pPr>
              <w:pStyle w:val="Compact"/>
              <w:jc w:val="left"/>
            </w:pPr>
            <w:r>
              <w:t xml:space="preserve">Execution</w:t>
            </w:r>
          </w:p>
        </w:tc>
        <w:tc>
          <w:tcPr/>
          <w:p>
            <w:pPr>
              <w:pStyle w:val="Compact"/>
              <w:jc w:val="left"/>
            </w:pPr>
            <w:r>
              <w:t xml:space="preserve">6 weeks</w:t>
            </w:r>
          </w:p>
        </w:tc>
        <w:tc>
          <w:tcPr/>
          <w:p>
            <w:pPr>
              <w:pStyle w:val="Compact"/>
              <w:jc w:val="left"/>
            </w:pPr>
            <w:r>
              <w:t xml:space="preserve">Design, development, testing, and user feedback.</w:t>
            </w:r>
          </w:p>
        </w:tc>
      </w:tr>
      <w:tr>
        <w:tc>
          <w:tcPr/>
          <w:p>
            <w:pPr>
              <w:pStyle w:val="Compact"/>
              <w:jc w:val="left"/>
            </w:pPr>
            <w:r>
              <w:t xml:space="preserve">Analysis</w:t>
            </w:r>
          </w:p>
        </w:tc>
        <w:tc>
          <w:tcPr/>
          <w:p>
            <w:pPr>
              <w:pStyle w:val="Compact"/>
              <w:jc w:val="left"/>
            </w:pPr>
            <w:r>
              <w:t xml:space="preserve">2 weeks</w:t>
            </w:r>
          </w:p>
        </w:tc>
        <w:tc>
          <w:tcPr/>
          <w:p>
            <w:pPr>
              <w:pStyle w:val="Compact"/>
              <w:jc w:val="left"/>
            </w:pPr>
            <w:r>
              <w:t xml:space="preserve">Data analysis, reporting, and recommendations.</w:t>
            </w:r>
          </w:p>
        </w:tc>
      </w:tr>
    </w:tbl>
    <w:p>
      <w:pPr>
        <w:pStyle w:val="BodyText"/>
      </w:pPr>
      <w:r>
        <w:t xml:space="preserve">7. Conclusion</w:t>
      </w:r>
    </w:p>
    <w:p>
      <w:pPr>
        <w:pStyle w:val="BodyText"/>
      </w:pPr>
      <w:r>
        <w:t xml:space="preserve">This Experiment Protocol provides a structured approach to evaluating the performance and practices of Web Designers in Germany Munich. By focusing on key aspects such as performance, design quality, accessibility, and compliance, the experiment aims to generate valuable insights that can inform best practices and drive innovation in the region. The findings will contribute to a deeper understanding of how Web Designers can meet the high standards expected in one of Europe's leading tech hubs.</w:t>
      </w:r>
    </w:p>
    <w:p>
      <w:pPr>
        <w:pStyle w:val="BodyText"/>
      </w:pPr>
      <w:r>
        <w:t xml:space="preserve">This document is intended for internal use only. Unauthorized distribution or reproduction is prohibited. For questions or clarifications, please contact the research team at research@example.com.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Germany Munich</dc:title>
  <dc:creator/>
  <dc:language>en</dc:language>
  <cp:keywords/>
  <dcterms:created xsi:type="dcterms:W3CDTF">2026-10-10T05:38:43Z</dcterms:created>
  <dcterms:modified xsi:type="dcterms:W3CDTF">2026-10-10T05:38:43Z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