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NYC</w:t>
      </w:r>
    </w:p>
    <w:bookmarkStart w:id="35" w:name="X3d0eb3f38b0a9f43704bb5b06eef00e41890e89"/>
    <w:p>
      <w:pPr>
        <w:pStyle w:val="Heading1"/>
      </w:pPr>
      <w:r>
        <w:t xml:space="preserve">Experiment Protocol: Web Designer Performance in United States New York City</w:t>
      </w:r>
    </w:p>
    <w:bookmarkStart w:id="20" w:name="introduction-and-background"/>
    <w:p>
      <w:pPr>
        <w:pStyle w:val="Heading2"/>
      </w:pPr>
      <w:r>
        <w:t xml:space="preserve">1. Introduction and Background</w:t>
      </w:r>
    </w:p>
    <w:p>
      <w:pPr>
        <w:pStyle w:val="FirstParagraph"/>
      </w:pPr>
      <w:r>
        <w:t xml:space="preserve">The digital landscape in the United States New York City is characterized by high-speed connectivity, intense market competition, and a diverse demographic of users. As a global hub for finance, media, fashion, and technology, the expectations for web design in this region are exceptionally high. This Experiment Protocol outlines a structured approach to evaluating the performance, usability, and aesthetic impact of web design solutions developed by a Web Designer operating within this specific geographic and cultural context.</w:t>
      </w:r>
    </w:p>
    <w:p>
      <w:pPr>
        <w:pStyle w:val="BodyText"/>
      </w:pPr>
      <w:r>
        <w:t xml:space="preserve">The primary objective of this experiment is to determine how specific design choices influence user engagement, conversion rates, and brand perception among New York City residents. By isolating variables such as load times, mobile responsiveness, and visual hierarchy, we aim to provide actionable insights for Web Designers seeking to optimize their work for the unique demands of the NYC market.</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Assess the impact of page load speed on user retention rates among New York City users.</w:t>
      </w:r>
    </w:p>
    <w:p>
      <w:pPr>
        <w:numPr>
          <w:ilvl w:val="0"/>
          <w:numId w:val="1001"/>
        </w:numPr>
        <w:pStyle w:val="Compact"/>
      </w:pPr>
      <w:r>
        <w:t xml:space="preserve">Evaluate the effectiveness of mobile-first design strategies given the high mobile usage in urban environments.</w:t>
      </w:r>
    </w:p>
    <w:p>
      <w:pPr>
        <w:numPr>
          <w:ilvl w:val="0"/>
          <w:numId w:val="1001"/>
        </w:numPr>
        <w:pStyle w:val="Compact"/>
      </w:pPr>
      <w:r>
        <w:t xml:space="preserve">Determine how cultural nuances and local aesthetics influence user trust and engagement.</w:t>
      </w:r>
    </w:p>
    <w:p>
      <w:pPr>
        <w:numPr>
          <w:ilvl w:val="0"/>
          <w:numId w:val="1001"/>
        </w:numPr>
        <w:pStyle w:val="Compact"/>
      </w:pPr>
      <w:r>
        <w:t xml:space="preserve">Measure the conversion rate differences between minimalist and information-dense layouts.</w:t>
      </w:r>
    </w:p>
    <w:p>
      <w:pPr>
        <w:numPr>
          <w:ilvl w:val="0"/>
          <w:numId w:val="1001"/>
        </w:numPr>
        <w:pStyle w:val="Compact"/>
      </w:pPr>
      <w:r>
        <w:t xml:space="preserve">Provide a standardized framework for Web Designers to test their work before full-scale deployment.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randomly assigned to one of two groups: the Control Group (Group A) and the Experimental Group (Group B). Both groups will be exposed to a website designed by a Web Designer, but with specific variations in design elements.</w:t>
      </w:r>
    </w:p>
    <w:bookmarkEnd w:id="22"/>
    <w:bookmarkStart w:id="23" w:name="participants"/>
    <w:p>
      <w:pPr>
        <w:pStyle w:val="Heading3"/>
      </w:pPr>
      <w:r>
        <w:t xml:space="preserve">3.2 Participants</w:t>
      </w:r>
    </w:p>
    <w:p>
      <w:pPr>
        <w:pStyle w:val="FirstParagraph"/>
      </w:pPr>
      <w:r>
        <w:t xml:space="preserve">The target population for this study consists of residents of the United States New York City. Participants will be recruited through local digital marketing channels, ensuring a diverse sample across the five boroughs. Inclusion criteria include:</w:t>
      </w:r>
    </w:p>
    <w:p>
      <w:pPr>
        <w:numPr>
          <w:ilvl w:val="0"/>
          <w:numId w:val="1002"/>
        </w:numPr>
        <w:pStyle w:val="Compact"/>
      </w:pPr>
      <w:r>
        <w:t xml:space="preserve">Age 18 years or older.</w:t>
      </w:r>
    </w:p>
    <w:p>
      <w:pPr>
        <w:numPr>
          <w:ilvl w:val="0"/>
          <w:numId w:val="1002"/>
        </w:numPr>
        <w:pStyle w:val="Compact"/>
      </w:pPr>
      <w:r>
        <w:t xml:space="preserve">Resident of New York City for at least six months.</w:t>
      </w:r>
    </w:p>
    <w:p>
      <w:pPr>
        <w:numPr>
          <w:ilvl w:val="0"/>
          <w:numId w:val="1002"/>
        </w:numPr>
        <w:pStyle w:val="Compact"/>
      </w:pPr>
      <w:r>
        <w:t xml:space="preserve">Regular internet user (at least 3 hours per day).</w:t>
      </w:r>
    </w:p>
    <w:p>
      <w:pPr>
        <w:numPr>
          <w:ilvl w:val="0"/>
          <w:numId w:val="1002"/>
        </w:numPr>
        <w:pStyle w:val="Compact"/>
      </w:pPr>
      <w:r>
        <w:t xml:space="preserve">Access to a smartphone and/or desktop computer.</w:t>
      </w:r>
    </w:p>
    <w:bookmarkEnd w:id="23"/>
    <w:bookmarkStart w:id="24" w:name="variables"/>
    <w:p>
      <w:pPr>
        <w:pStyle w:val="Heading3"/>
      </w:pPr>
      <w:r>
        <w:t xml:space="preserve">3.3 Variables</w:t>
      </w:r>
    </w:p>
    <w:p>
      <w:pPr>
        <w:pStyle w:val="FirstParagraph"/>
      </w:pPr>
      <w:r>
        <w:rPr>
          <w:bCs/>
          <w:b/>
        </w:rPr>
        <w:t xml:space="preserve">Independent Variables:</w:t>
      </w:r>
    </w:p>
    <w:p>
      <w:pPr>
        <w:numPr>
          <w:ilvl w:val="0"/>
          <w:numId w:val="1003"/>
        </w:numPr>
        <w:pStyle w:val="Compact"/>
      </w:pPr>
      <w:r>
        <w:t xml:space="preserve">Page load time (optimized vs. standard).</w:t>
      </w:r>
    </w:p>
    <w:p>
      <w:pPr>
        <w:numPr>
          <w:ilvl w:val="0"/>
          <w:numId w:val="1003"/>
        </w:numPr>
        <w:pStyle w:val="Compact"/>
      </w:pPr>
      <w:r>
        <w:t xml:space="preserve">Layout style (minimalist vs. information-dense).</w:t>
      </w:r>
    </w:p>
    <w:p>
      <w:pPr>
        <w:numPr>
          <w:ilvl w:val="0"/>
          <w:numId w:val="1003"/>
        </w:numPr>
        <w:pStyle w:val="Compact"/>
      </w:pPr>
      <w:r>
        <w:t xml:space="preserve">Color scheme (neutral vs. vibrant).</w:t>
      </w:r>
    </w:p>
    <w:p>
      <w:pPr>
        <w:pStyle w:val="FirstParagraph"/>
      </w:pPr>
      <w:r>
        <w:rPr>
          <w:bCs/>
          <w:b/>
        </w:rPr>
        <w:t xml:space="preserve">Dependent Variables:</w:t>
      </w:r>
    </w:p>
    <w:p>
      <w:pPr>
        <w:numPr>
          <w:ilvl w:val="0"/>
          <w:numId w:val="1004"/>
        </w:numPr>
        <w:pStyle w:val="Compact"/>
      </w:pPr>
      <w:r>
        <w:t xml:space="preserve">User engagement time.</w:t>
      </w:r>
    </w:p>
    <w:p>
      <w:pPr>
        <w:numPr>
          <w:ilvl w:val="0"/>
          <w:numId w:val="1004"/>
        </w:numPr>
        <w:pStyle w:val="Compact"/>
      </w:pPr>
      <w:r>
        <w:t xml:space="preserve">Click-through rate (CTR).</w:t>
      </w:r>
    </w:p>
    <w:p>
      <w:pPr>
        <w:numPr>
          <w:ilvl w:val="0"/>
          <w:numId w:val="1004"/>
        </w:numPr>
        <w:pStyle w:val="Compact"/>
      </w:pPr>
      <w:r>
        <w:t xml:space="preserve">Conversion rate (e.g., newsletter sign-up, purchase).</w:t>
      </w:r>
    </w:p>
    <w:p>
      <w:pPr>
        <w:numPr>
          <w:ilvl w:val="0"/>
          <w:numId w:val="1004"/>
        </w:numPr>
        <w:pStyle w:val="Compact"/>
      </w:pPr>
      <w:r>
        <w:t xml:space="preserve">User satisfaction score (via post-experiment survey).</w:t>
      </w:r>
    </w:p>
    <w:bookmarkEnd w:id="24"/>
    <w:bookmarkEnd w:id="25"/>
    <w:bookmarkStart w:id="30"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The Web Designer will create two versions of the website: Version A (Control) and Version B (Experimental). Version A will adhere to standard industry practices, while Version B will incorporate specific optimizations based on hypotheses derived from previous studies. Both versions will be hosted on servers located in the United States to ensure minimal latency for New York City users.</w:t>
      </w:r>
    </w:p>
    <w:bookmarkEnd w:id="26"/>
    <w:bookmarkStart w:id="27" w:name="recruitment-and-consent"/>
    <w:p>
      <w:pPr>
        <w:pStyle w:val="Heading3"/>
      </w:pPr>
      <w:r>
        <w:t xml:space="preserve">4.2 Recruitment and Consent</w:t>
      </w:r>
    </w:p>
    <w:p>
      <w:pPr>
        <w:pStyle w:val="FirstParagraph"/>
      </w:pPr>
      <w:r>
        <w:t xml:space="preserve">Participants will be recruited via online advertisements targeted to New York City. Upon clicking the ad, they will be directed to an informed consent page detailing the purpose of the study, their rights, and data privacy measures. Only participants who provide explicit consent will proceed to the experiment.</w:t>
      </w:r>
    </w:p>
    <w:bookmarkEnd w:id="27"/>
    <w:bookmarkStart w:id="28" w:name="experiment-execution"/>
    <w:p>
      <w:pPr>
        <w:pStyle w:val="Heading3"/>
      </w:pPr>
      <w:r>
        <w:t xml:space="preserve">4.3 Experiment Execution</w:t>
      </w:r>
    </w:p>
    <w:p>
      <w:pPr>
        <w:pStyle w:val="FirstParagraph"/>
      </w:pPr>
      <w:r>
        <w:t xml:space="preserve">Participants will be randomly assigned to either Version A or Version B. They will be asked to complete a series of tasks on the website, such as finding specific information, making a purchase, or signing up for a service. Their interactions will be tracked using analytics tools to measure engagement, load times, and conversion rates.</w:t>
      </w:r>
    </w:p>
    <w:bookmarkEnd w:id="28"/>
    <w:bookmarkStart w:id="29" w:name="data-collection"/>
    <w:p>
      <w:pPr>
        <w:pStyle w:val="Heading3"/>
      </w:pPr>
      <w:r>
        <w:t xml:space="preserve">4.4 Data Collection</w:t>
      </w:r>
    </w:p>
    <w:p>
      <w:pPr>
        <w:pStyle w:val="FirstParagraph"/>
      </w:pPr>
      <w:r>
        <w:t xml:space="preserve">Data will be collected through:</w:t>
      </w:r>
    </w:p>
    <w:p>
      <w:pPr>
        <w:numPr>
          <w:ilvl w:val="0"/>
          <w:numId w:val="1005"/>
        </w:numPr>
        <w:pStyle w:val="Compact"/>
      </w:pPr>
      <w:r>
        <w:t xml:space="preserve">Web analytics (e.g., Google Analytics).</w:t>
      </w:r>
    </w:p>
    <w:p>
      <w:pPr>
        <w:numPr>
          <w:ilvl w:val="0"/>
          <w:numId w:val="1005"/>
        </w:numPr>
        <w:pStyle w:val="Compact"/>
      </w:pPr>
      <w:r>
        <w:t xml:space="preserve">Heatmaps and click tracking tools.</w:t>
      </w:r>
    </w:p>
    <w:p>
      <w:pPr>
        <w:numPr>
          <w:ilvl w:val="0"/>
          <w:numId w:val="1005"/>
        </w:numPr>
        <w:pStyle w:val="Compact"/>
      </w:pPr>
      <w:r>
        <w:t xml:space="preserve">Post-experiment surveys assessing user satisfaction and perceived usability.</w:t>
      </w:r>
    </w:p>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for human subject research. All participant data will be anonymized and stored securely. Participants will be informed that they can withdraw from the study at any time without penalty. The experiment will comply with relevant data protection laws in the United States, including the California Consumer Privacy Act (CCPA) and New York State privacy regulations.</w:t>
      </w:r>
    </w:p>
    <w:bookmarkEnd w:id="31"/>
    <w:bookmarkStart w:id="32" w:name="data-analysis"/>
    <w:p>
      <w:pPr>
        <w:pStyle w:val="Heading2"/>
      </w:pPr>
      <w:r>
        <w:t xml:space="preserve">6. Data Analysis</w:t>
      </w:r>
    </w:p>
    <w:p>
      <w:pPr>
        <w:pStyle w:val="FirstParagraph"/>
      </w:pPr>
      <w:r>
        <w:t xml:space="preserve">Data will be analyzed using statistical software to determine significant differences between the Control and Experimental groups. Key metrics such as engagement time, CTR, and conversion rates will be compared using t-tests or ANOVA, depending on the number of variables. Qualitative data from surveys will be analyzed thematically to identify common user perceptions and preferences.</w:t>
      </w:r>
    </w:p>
    <w:bookmarkEnd w:id="32"/>
    <w:bookmarkStart w:id="33" w:name="expected-outcomes"/>
    <w:p>
      <w:pPr>
        <w:pStyle w:val="Heading2"/>
      </w:pPr>
      <w:r>
        <w:t xml:space="preserve">7. Expected Outcomes</w:t>
      </w:r>
    </w:p>
    <w:p>
      <w:pPr>
        <w:pStyle w:val="FirstParagraph"/>
      </w:pPr>
      <w:r>
        <w:t xml:space="preserve">It is hypothesized that the Experimental Group (Version B) will demonstrate higher engagement and conversion rates due to optimized load times and a more user-centric design. Additionally, the study aims to reveal specific design preferences among New York City users, providing valuable insights for Web Designers operating in this competitive market.</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effectiveness of web design strategies in the United States New York City. By systematically testing design variables and analyzing user behavior, Web Designers can make data-driven decisions to enhance user experience and achieve business objectives. The findings from this study will contribute to the broader understanding of web design best practices in one of the world's most dynamic urban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NYC</dc:title>
  <dc:creator/>
  <dc:language>en</dc:language>
  <cp:keywords/>
  <dcterms:created xsi:type="dcterms:W3CDTF">2026-10-10T02:01:09Z</dcterms:created>
  <dcterms:modified xsi:type="dcterms:W3CDTF">2026-10-10T02:01:09Z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