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Australia</w:t>
      </w:r>
      <w:r>
        <w:t xml:space="preserve"> </w:t>
      </w:r>
      <w:r>
        <w:t xml:space="preserve">Sydney</w:t>
      </w:r>
    </w:p>
    <w:bookmarkStart w:id="33" w:name="Xfcc153197af17e4276b670987c7de46ef28de5f"/>
    <w:p>
      <w:pPr>
        <w:pStyle w:val="Heading1"/>
      </w:pPr>
      <w:r>
        <w:t xml:space="preserve">Experiment Protocol: Welder Performance Assessment in Australia Sydney</w:t>
      </w:r>
    </w:p>
    <w:p>
      <w:pPr>
        <w:pStyle w:val="FirstParagraph"/>
      </w:pPr>
      <w:r>
        <w:rPr>
          <w:bCs/>
          <w:b/>
        </w:rPr>
        <w:t xml:space="preserve">Document ID:</w:t>
      </w:r>
      <w:r>
        <w:t xml:space="preserve"> </w:t>
      </w:r>
      <w:r>
        <w:t xml:space="preserve">EXP-WLD-SYD-2023-001</w:t>
      </w:r>
    </w:p>
    <w:p>
      <w:pPr>
        <w:pStyle w:val="BodyText"/>
      </w:pPr>
      <w:r>
        <w:rPr>
          <w:bCs/>
          <w:b/>
        </w:rPr>
        <w:t xml:space="preserve">Location:</w:t>
      </w:r>
      <w:r>
        <w:t xml:space="preserve"> </w:t>
      </w:r>
      <w:r>
        <w:t xml:space="preserve">Industrial Testing Facility, Australia Sydney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Engineering Team</w:t>
      </w:r>
    </w:p>
    <w:p>
      <w:pPr>
        <w:pStyle w:val="BodyText"/>
      </w:pPr>
      <w:r>
        <w:rPr>
          <w:bCs/>
          <w:b/>
        </w:rPr>
        <w:t xml:space="preserve">Subject:</w:t>
      </w:r>
      <w:r>
        <w:t xml:space="preserve"> </w:t>
      </w:r>
      <w:r>
        <w:t xml:space="preserve">Standardized Testing of Welder Equipment and Operator Proficiency</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to evaluate the performance, safety, and efficiency of a Welder operating within the specific environmental and regulatory context of Australia Sydney. The primary objective is to assess the structural integrity of welds produced under varying conditions typical of Sydney's coastal industrial zones. This protocol ensures compliance with Australian Standards (AS/NZS) and local New South Wales (NSW) safety regulations.</w:t>
      </w:r>
    </w:p>
    <w:p>
      <w:pPr>
        <w:pStyle w:val="BodyText"/>
      </w:pPr>
      <w:r>
        <w:t xml:space="preserve">The assessment focuses on both the mechanical capabilities of the Welder equipment and the technical proficiency of the operator. Given the high humidity and salt-laden air characteristic of Australia Sydney, this experiment specifically targets corrosion resistance and long-term durability of the welded joints.</w:t>
      </w:r>
    </w:p>
    <w:bookmarkEnd w:id="20"/>
    <w:bookmarkStart w:id="21" w:name="scope-and-applicability"/>
    <w:p>
      <w:pPr>
        <w:pStyle w:val="Heading2"/>
      </w:pPr>
      <w:r>
        <w:t xml:space="preserve">2. Scope and Applicability</w:t>
      </w:r>
    </w:p>
    <w:p>
      <w:pPr>
        <w:pStyle w:val="FirstParagraph"/>
      </w:pPr>
      <w:r>
        <w:t xml:space="preserve">This protocol applies to all Gas Metal Arc Welding (GMAW) and Shielded Metal Arc Welding (SMAW) processes conducted at the designated testing site in Australia Sydney. It covers the preparation of materials, the welding execution, post-weld inspection, and data analysis. The scope includes testing on mild steel and stainless steel substrates commonly used in Sydney's infrastructure projects.</w:t>
      </w:r>
    </w:p>
    <w:bookmarkEnd w:id="21"/>
    <w:bookmarkStart w:id="22" w:name="Xc1bf6019d7c7f546cd756b019a9b2d8bdab0c79"/>
    <w:p>
      <w:pPr>
        <w:pStyle w:val="Heading2"/>
      </w:pPr>
      <w:r>
        <w:t xml:space="preserve">3. Regulatory Compliance and Safety Standards</w:t>
      </w:r>
    </w:p>
    <w:p>
      <w:pPr>
        <w:pStyle w:val="FirstParagraph"/>
      </w:pPr>
      <w:r>
        <w:t xml:space="preserve">All activities must strictly adhere to the following standards relevant to Australia Sydney:</w:t>
      </w:r>
    </w:p>
    <w:p>
      <w:pPr>
        <w:numPr>
          <w:ilvl w:val="0"/>
          <w:numId w:val="1001"/>
        </w:numPr>
        <w:pStyle w:val="Compact"/>
      </w:pPr>
      <w:r>
        <w:rPr>
          <w:bCs/>
          <w:b/>
        </w:rPr>
        <w:t xml:space="preserve">AS/NZS 1554.1:</w:t>
      </w:r>
      <w:r>
        <w:t xml:space="preserve"> </w:t>
      </w:r>
      <w:r>
        <w:t xml:space="preserve">Structural steel welding.</w:t>
      </w:r>
    </w:p>
    <w:p>
      <w:pPr>
        <w:numPr>
          <w:ilvl w:val="0"/>
          <w:numId w:val="1001"/>
        </w:numPr>
        <w:pStyle w:val="Compact"/>
      </w:pPr>
      <w:r>
        <w:rPr>
          <w:bCs/>
          <w:b/>
        </w:rPr>
        <w:t xml:space="preserve">AS/NZS 4801:</w:t>
      </w:r>
      <w:r>
        <w:t xml:space="preserve"> </w:t>
      </w:r>
      <w:r>
        <w:t xml:space="preserve">Occupational health and safety management systems.</w:t>
      </w:r>
    </w:p>
    <w:p>
      <w:pPr>
        <w:numPr>
          <w:ilvl w:val="0"/>
          <w:numId w:val="1001"/>
        </w:numPr>
        <w:pStyle w:val="Compact"/>
      </w:pPr>
      <w:r>
        <w:rPr>
          <w:bCs/>
          <w:b/>
        </w:rPr>
        <w:t xml:space="preserve">Work Health and Safety Act 2011 (NSW):</w:t>
      </w:r>
      <w:r>
        <w:t xml:space="preserve"> </w:t>
      </w:r>
      <w:r>
        <w:t xml:space="preserve">Local legislation governing workplace safety in Australia Sydney.</w:t>
      </w:r>
    </w:p>
    <w:p>
      <w:pPr>
        <w:numPr>
          <w:ilvl w:val="0"/>
          <w:numId w:val="1001"/>
        </w:numPr>
        <w:pStyle w:val="Compact"/>
      </w:pPr>
      <w:r>
        <w:rPr>
          <w:bCs/>
          <w:b/>
        </w:rPr>
        <w:t xml:space="preserve">AS/NZS 1358:</w:t>
      </w:r>
      <w:r>
        <w:t xml:space="preserve"> </w:t>
      </w:r>
      <w:r>
        <w:t xml:space="preserve">Eye and face protection for welding.</w:t>
      </w:r>
    </w:p>
    <w:p>
      <w:pPr>
        <w:pStyle w:val="FirstParagraph"/>
      </w:pPr>
      <w:r>
        <w:t xml:space="preserve">WARNING: Failure to comply with these standards may result in immediate termination of the experiment and legal repercussions under NSW law.</w:t>
      </w:r>
    </w:p>
    <w:bookmarkEnd w:id="22"/>
    <w:bookmarkStart w:id="25" w:name="equipment-and-materials"/>
    <w:p>
      <w:pPr>
        <w:pStyle w:val="Heading2"/>
      </w:pPr>
      <w:r>
        <w:t xml:space="preserve">4. Equipment and Materials</w:t>
      </w:r>
    </w:p>
    <w:bookmarkStart w:id="23" w:name="welder-equipment"/>
    <w:p>
      <w:pPr>
        <w:pStyle w:val="Heading3"/>
      </w:pPr>
      <w:r>
        <w:t xml:space="preserve">4.1 Welder Equipment</w:t>
      </w:r>
    </w:p>
    <w:p>
      <w:pPr>
        <w:pStyle w:val="FirstParagraph"/>
      </w:pPr>
      <w:r>
        <w:t xml:space="preserve">The Welder unit selected for this experiment must be calibrated and certified for use in Australia Sydney. It should be capable of maintaining stable arc characteristics despite potential power fluctuations common in industrial areas.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Welding Power Source</w:t>
            </w:r>
          </w:p>
        </w:tc>
        <w:tc>
          <w:tcPr/>
          <w:p>
            <w:pPr>
              <w:pStyle w:val="Compact"/>
              <w:jc w:val="left"/>
            </w:pPr>
            <w:r>
              <w:t xml:space="preserve">Inverter-based, 230V/415V compatible</w:t>
            </w:r>
          </w:p>
        </w:tc>
      </w:tr>
      <w:tr>
        <w:tc>
          <w:tcPr/>
          <w:p>
            <w:pPr>
              <w:pStyle w:val="Compact"/>
              <w:jc w:val="left"/>
            </w:pPr>
            <w:r>
              <w:t xml:space="preserve">Shielding Gas</w:t>
            </w:r>
          </w:p>
        </w:tc>
        <w:tc>
          <w:tcPr/>
          <w:p>
            <w:pPr>
              <w:pStyle w:val="Compact"/>
              <w:jc w:val="left"/>
            </w:pPr>
            <w:r>
              <w:t xml:space="preserve">75% Argon / 25% CO2 (for GMAW)</w:t>
            </w:r>
          </w:p>
        </w:tc>
      </w:tr>
      <w:tr>
        <w:tc>
          <w:tcPr/>
          <w:p>
            <w:pPr>
              <w:pStyle w:val="Compact"/>
              <w:jc w:val="left"/>
            </w:pPr>
            <w:r>
              <w:t xml:space="preserve">Electrodes</w:t>
            </w:r>
          </w:p>
        </w:tc>
        <w:tc>
          <w:tcPr/>
          <w:p>
            <w:pPr>
              <w:pStyle w:val="Compact"/>
              <w:jc w:val="left"/>
            </w:pPr>
            <w:r>
              <w:t xml:space="preserve">E6013 or E7018 (for SMAW)</w:t>
            </w:r>
          </w:p>
        </w:tc>
      </w:tr>
    </w:tbl>
    <w:bookmarkEnd w:id="23"/>
    <w:bookmarkStart w:id="24" w:name="substrate-materials"/>
    <w:p>
      <w:pPr>
        <w:pStyle w:val="Heading3"/>
      </w:pPr>
      <w:r>
        <w:t xml:space="preserve">4.2 Substrate Materials</w:t>
      </w:r>
    </w:p>
    <w:p>
      <w:pPr>
        <w:pStyle w:val="FirstParagraph"/>
      </w:pPr>
      <w:r>
        <w:t xml:space="preserve">Test plates will be sourced from local suppliers in Australia Sydney to ensure material consistency with regional construction standards. Plates will be cleaned to remove any surface contaminants, including salt deposits, which are prevalent in the Sydney coastal environment.</w:t>
      </w:r>
    </w:p>
    <w:bookmarkEnd w:id="24"/>
    <w:bookmarkEnd w:id="25"/>
    <w:bookmarkStart w:id="29" w:name="experimental-procedure"/>
    <w:p>
      <w:pPr>
        <w:pStyle w:val="Heading2"/>
      </w:pPr>
      <w:r>
        <w:t xml:space="preserve">5. Experimental Procedure</w:t>
      </w:r>
    </w:p>
    <w:bookmarkStart w:id="26" w:name="preparation-phase"/>
    <w:p>
      <w:pPr>
        <w:pStyle w:val="Heading3"/>
      </w:pPr>
      <w:r>
        <w:t xml:space="preserve">5.1 Preparation Phase</w:t>
      </w:r>
    </w:p>
    <w:p>
      <w:pPr>
        <w:pStyle w:val="FirstParagraph"/>
      </w:pPr>
      <w:r>
        <w:t xml:space="preserve">Before initiating the welding process, the operator must verify that the Welder is grounded correctly according to Australian electrical safety standards. The work area in Australia Sydney must be ventilated to prevent the accumulation of hazardous fumes. Personal Protective Equipment (PPE), including flame-resistant clothing, welding gloves, and a certified helmet, must be worn at all times.</w:t>
      </w:r>
    </w:p>
    <w:bookmarkEnd w:id="26"/>
    <w:bookmarkStart w:id="27" w:name="welding-execution"/>
    <w:p>
      <w:pPr>
        <w:pStyle w:val="Heading3"/>
      </w:pPr>
      <w:r>
        <w:t xml:space="preserve">5.2 Welding Execution</w:t>
      </w:r>
    </w:p>
    <w:p>
      <w:pPr>
        <w:pStyle w:val="FirstParagraph"/>
      </w:pPr>
      <w:r>
        <w:t xml:space="preserve">The Welder will perform three distinct types of joints: butt joint, fillet joint, and lap joint. Each joint will be welded under controlled parameters. The operator must maintain a consistent travel speed and electrode angle. Given the ambient conditions in Australia Sydney, special attention must be paid to wind speed; if wind exceeds 10 km/h, shielding gas effectiveness may be compromised, requiring windbreaks.</w:t>
      </w:r>
    </w:p>
    <w:p>
      <w:pPr>
        <w:pStyle w:val="BodyText"/>
      </w:pPr>
      <w:r>
        <w:t xml:space="preserve">Parameters for the Welder will be logged in real-time, including voltage, amperage, and wire feed speed. This data is crucial for correlating weld quality with machine settings.</w:t>
      </w:r>
    </w:p>
    <w:bookmarkEnd w:id="27"/>
    <w:bookmarkStart w:id="28" w:name="post-weld-inspection"/>
    <w:p>
      <w:pPr>
        <w:pStyle w:val="Heading3"/>
      </w:pPr>
      <w:r>
        <w:t xml:space="preserve">5.3 Post-Weld Inspection</w:t>
      </w:r>
    </w:p>
    <w:p>
      <w:pPr>
        <w:pStyle w:val="FirstParagraph"/>
      </w:pPr>
      <w:r>
        <w:t xml:space="preserve">Immediately after welding, the specimens will undergo visual inspection for defects such as porosity, cracks, and undercut. Non-destructive testing (NDT) methods, including magnetic particle inspection and ultrasonic testing, will be employed to detect subsurface flaws. These tests are critical to ensure the welds can withstand the corrosive environment of Australia Sydney.</w:t>
      </w:r>
    </w:p>
    <w:bookmarkEnd w:id="28"/>
    <w:bookmarkEnd w:id="29"/>
    <w:bookmarkStart w:id="30" w:name="data-collection-and-analysis"/>
    <w:p>
      <w:pPr>
        <w:pStyle w:val="Heading2"/>
      </w:pPr>
      <w:r>
        <w:t xml:space="preserve">6. Data Collection and Analysis</w:t>
      </w:r>
    </w:p>
    <w:p>
      <w:pPr>
        <w:pStyle w:val="FirstParagraph"/>
      </w:pPr>
      <w:r>
        <w:t xml:space="preserve">All data collected during the experiment will be recorded in a standardized logbook. Key metrics include:</w:t>
      </w:r>
    </w:p>
    <w:p>
      <w:pPr>
        <w:numPr>
          <w:ilvl w:val="0"/>
          <w:numId w:val="1002"/>
        </w:numPr>
        <w:pStyle w:val="Compact"/>
      </w:pPr>
      <w:r>
        <w:t xml:space="preserve">Weld bead geometry (width, height, penetration depth).</w:t>
      </w:r>
    </w:p>
    <w:p>
      <w:pPr>
        <w:numPr>
          <w:ilvl w:val="0"/>
          <w:numId w:val="1002"/>
        </w:numPr>
        <w:pStyle w:val="Compact"/>
      </w:pPr>
      <w:r>
        <w:t xml:space="preserve">Hardness values of the weld zone and heat-affected zone.</w:t>
      </w:r>
    </w:p>
    <w:p>
      <w:pPr>
        <w:numPr>
          <w:ilvl w:val="0"/>
          <w:numId w:val="1002"/>
        </w:numPr>
        <w:pStyle w:val="Compact"/>
      </w:pPr>
      <w:r>
        <w:t xml:space="preserve">Tensile strength of the welded joints.</w:t>
      </w:r>
    </w:p>
    <w:p>
      <w:pPr>
        <w:numPr>
          <w:ilvl w:val="0"/>
          <w:numId w:val="1002"/>
        </w:numPr>
        <w:pStyle w:val="Compact"/>
      </w:pPr>
      <w:r>
        <w:t xml:space="preserve">Corrosion resistance after exposure to simulated Sydney coastal conditions.</w:t>
      </w:r>
    </w:p>
    <w:p>
      <w:pPr>
        <w:pStyle w:val="FirstParagraph"/>
      </w:pPr>
      <w:r>
        <w:t xml:space="preserve">Statistical analysis will be performed to determine the reliability of the Welder's performance. Any anomalies will be investigated to identify potential causes, such as equipment malfunction or operator error.</w:t>
      </w:r>
    </w:p>
    <w:bookmarkEnd w:id="30"/>
    <w:bookmarkStart w:id="31" w:name="risk-management"/>
    <w:p>
      <w:pPr>
        <w:pStyle w:val="Heading2"/>
      </w:pPr>
      <w:r>
        <w:t xml:space="preserve">7. Risk Management</w:t>
      </w:r>
    </w:p>
    <w:p>
      <w:pPr>
        <w:pStyle w:val="FirstParagraph"/>
      </w:pPr>
      <w:r>
        <w:t xml:space="preserve">Potential risks associated with this experiment include electric shock, burns, eye damage, and inhalation of toxic fumes. Mitigation strategies include:</w:t>
      </w:r>
    </w:p>
    <w:p>
      <w:pPr>
        <w:numPr>
          <w:ilvl w:val="0"/>
          <w:numId w:val="1003"/>
        </w:numPr>
        <w:pStyle w:val="Compact"/>
      </w:pPr>
      <w:r>
        <w:t xml:space="preserve">Regular inspection of the Welder and cables for damage.</w:t>
      </w:r>
    </w:p>
    <w:p>
      <w:pPr>
        <w:numPr>
          <w:ilvl w:val="0"/>
          <w:numId w:val="1003"/>
        </w:numPr>
        <w:pStyle w:val="Compact"/>
      </w:pPr>
      <w:r>
        <w:t xml:space="preserve">Use of appropriate PPE.</w:t>
      </w:r>
    </w:p>
    <w:p>
      <w:pPr>
        <w:numPr>
          <w:ilvl w:val="0"/>
          <w:numId w:val="1003"/>
        </w:numPr>
        <w:pStyle w:val="Compact"/>
      </w:pPr>
      <w:r>
        <w:t xml:space="preserve">Adequate ventilation in the testing area.</w:t>
      </w:r>
    </w:p>
    <w:p>
      <w:pPr>
        <w:numPr>
          <w:ilvl w:val="0"/>
          <w:numId w:val="1003"/>
        </w:numPr>
        <w:pStyle w:val="Compact"/>
      </w:pPr>
      <w:r>
        <w:t xml:space="preserve">Emergency eyewash stations and fire extinguishers readily available.</w:t>
      </w:r>
    </w:p>
    <w:p>
      <w:pPr>
        <w:pStyle w:val="FirstParagraph"/>
      </w:pPr>
      <w:r>
        <w:t xml:space="preserve">In the event of an accident, the emergency procedures outlined in the Australia Sydney facility safety manual must be followed immediately.</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performance of a Welder in the unique context of Australia Sydney. By adhering to these procedures, we ensure that the welding processes meet the highest standards of quality, safety, and durability. The results of this experiment will contribute to the ongoing improvement of welding practices in the region, supporting the robust infrastructure development in Australia Sydney.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Australia Sydney</dc:title>
  <dc:creator/>
  <dc:language>en</dc:language>
  <cp:keywords/>
  <dcterms:created xsi:type="dcterms:W3CDTF">2026-10-10T01:11:40Z</dcterms:created>
  <dcterms:modified xsi:type="dcterms:W3CDTF">2026-10-10T01:11:40Z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