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20"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Accra, Ghana</w:t>
      </w:r>
    </w:p>
    <w:p>
      <w:pPr>
        <w:pStyle w:val="BodyText"/>
      </w:pPr>
      <w:r>
        <w:rPr>
          <w:bCs/>
          <w:b/>
        </w:rPr>
        <w:t xml:space="preserve">Subject:</w:t>
      </w:r>
      <w:r>
        <w:t xml:space="preserve"> </w:t>
      </w:r>
      <w:r>
        <w:t xml:space="preserve">Industrial Welder (MIG/TIG/ARC)</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under specific environmental conditions in Ghana Accra. The primary objective is to assess how local factors—such as humidity, power supply stability, and ambient temperature—affect welding quality and operator safety. This document serves as a standardized guide for technicians, engineers, and safety officers conducting the experiment.</w:t>
      </w:r>
    </w:p>
    <w:bookmarkEnd w:id="21"/>
    <w:bookmarkStart w:id="22" w:name="scope-and-applicability"/>
    <w:p>
      <w:pPr>
        <w:pStyle w:val="Heading2"/>
      </w:pPr>
      <w:r>
        <w:t xml:space="preserve">2. Scope and Applicability</w:t>
      </w:r>
    </w:p>
    <w:p>
      <w:pPr>
        <w:pStyle w:val="FirstParagraph"/>
      </w:pPr>
      <w:r>
        <w:t xml:space="preserve">This protocol applies to all welding experiments conducted within the Greater Accra Region. It covers the setup, execution, monitoring, and reporting phases of the experiment. The Welder under test must comply with international standards (e.g., ISO 3834) while adapting to local Ghanaian regulations.</w:t>
      </w:r>
    </w:p>
    <w:bookmarkEnd w:id="22"/>
    <w:bookmarkStart w:id="23" w:name="X6dc978f03feb0a1ace3bfbaaf6684c2bfd12a0b"/>
    <w:p>
      <w:pPr>
        <w:pStyle w:val="Heading2"/>
      </w:pPr>
      <w:r>
        <w:t xml:space="preserve">3. Environmental Considerations in Ghana Accra</w:t>
      </w:r>
    </w:p>
    <w:p>
      <w:pPr>
        <w:pStyle w:val="FirstParagraph"/>
      </w:pPr>
      <w:r>
        <w:t xml:space="preserve">Accra’s tropical climate presents unique challenges for welding operations. Key factors include:</w:t>
      </w:r>
    </w:p>
    <w:p>
      <w:pPr>
        <w:numPr>
          <w:ilvl w:val="0"/>
          <w:numId w:val="1001"/>
        </w:numPr>
        <w:pStyle w:val="Compact"/>
      </w:pPr>
      <w:r>
        <w:rPr>
          <w:bCs/>
          <w:b/>
        </w:rPr>
        <w:t xml:space="preserve">Humidity:</w:t>
      </w:r>
      <w:r>
        <w:t xml:space="preserve"> </w:t>
      </w:r>
      <w:r>
        <w:t xml:space="preserve">High humidity levels can affect electrode performance and weld quality.</w:t>
      </w:r>
    </w:p>
    <w:p>
      <w:pPr>
        <w:numPr>
          <w:ilvl w:val="0"/>
          <w:numId w:val="1001"/>
        </w:numPr>
        <w:pStyle w:val="Compact"/>
      </w:pPr>
      <w:r>
        <w:rPr>
          <w:bCs/>
          <w:b/>
        </w:rPr>
        <w:t xml:space="preserve">Temperature:</w:t>
      </w:r>
      <w:r>
        <w:t xml:space="preserve"> </w:t>
      </w:r>
      <w:r>
        <w:t xml:space="preserve">Ambient temperatures often exceed 30°C, impacting operator endurance and equipment cooling.</w:t>
      </w:r>
    </w:p>
    <w:p>
      <w:pPr>
        <w:numPr>
          <w:ilvl w:val="0"/>
          <w:numId w:val="1001"/>
        </w:numPr>
        <w:pStyle w:val="Compact"/>
      </w:pPr>
      <w:r>
        <w:rPr>
          <w:bCs/>
          <w:b/>
        </w:rPr>
        <w:t xml:space="preserve">Power Supply:</w:t>
      </w:r>
      <w:r>
        <w:t xml:space="preserve"> </w:t>
      </w:r>
      <w:r>
        <w:t xml:space="preserve">Voltage fluctuations are common; the Welder must be tested with and without voltage stabilizers.</w:t>
      </w:r>
    </w:p>
    <w:p>
      <w:pPr>
        <w:pStyle w:val="FirstParagraph"/>
      </w:pPr>
      <w:r>
        <w:rPr>
          <w:bCs/>
          <w:b/>
        </w:rPr>
        <w:t xml:space="preserve">Note:</w:t>
      </w:r>
      <w:r>
        <w:t xml:space="preserve"> </w:t>
      </w:r>
      <w:r>
        <w:t xml:space="preserve">All experiments must account for these variables to ensure accurate and reproducible results.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MIG/TIG/ARC, rated for 220V/380V</w:t>
            </w:r>
          </w:p>
        </w:tc>
        <w:tc>
          <w:tcPr/>
          <w:p>
            <w:pPr>
              <w:pStyle w:val="Compact"/>
              <w:jc w:val="left"/>
            </w:pPr>
            <w:r>
              <w:t xml:space="preserve">1</w:t>
            </w:r>
          </w:p>
        </w:tc>
      </w:tr>
      <w:tr>
        <w:tc>
          <w:tcPr/>
          <w:p>
            <w:pPr>
              <w:pStyle w:val="Compact"/>
              <w:jc w:val="left"/>
            </w:pPr>
            <w:r>
              <w:t xml:space="preserve">Electrodes/Wire</w:t>
            </w:r>
          </w:p>
        </w:tc>
        <w:tc>
          <w:tcPr/>
          <w:p>
            <w:pPr>
              <w:pStyle w:val="Compact"/>
              <w:jc w:val="left"/>
            </w:pPr>
            <w:r>
              <w:t xml:space="preserve">Standard E6013 or ER70S-6</w:t>
            </w:r>
          </w:p>
        </w:tc>
        <w:tc>
          <w:tcPr/>
          <w:p>
            <w:pPr>
              <w:pStyle w:val="Compact"/>
              <w:jc w:val="left"/>
            </w:pPr>
            <w:r>
              <w:t xml:space="preserve">10 kg</w:t>
            </w:r>
          </w:p>
        </w:tc>
      </w:tr>
      <w:tr>
        <w:tc>
          <w:tcPr/>
          <w:p>
            <w:pPr>
              <w:pStyle w:val="Compact"/>
              <w:jc w:val="left"/>
            </w:pPr>
            <w:r>
              <w:t xml:space="preserve">Base Metal</w:t>
            </w:r>
          </w:p>
        </w:tc>
        <w:tc>
          <w:tcPr/>
          <w:p>
            <w:pPr>
              <w:pStyle w:val="Compact"/>
              <w:jc w:val="left"/>
            </w:pPr>
            <w:r>
              <w:t xml:space="preserve">Mild steel plates (10mm thickness)</w:t>
            </w:r>
          </w:p>
        </w:tc>
        <w:tc>
          <w:tcPr/>
          <w:p>
            <w:pPr>
              <w:pStyle w:val="Compact"/>
              <w:jc w:val="left"/>
            </w:pPr>
            <w:r>
              <w:t xml:space="preserve">20 pieces</w:t>
            </w:r>
          </w:p>
        </w:tc>
      </w:tr>
      <w:tr>
        <w:tc>
          <w:tcPr/>
          <w:p>
            <w:pPr>
              <w:pStyle w:val="Compact"/>
              <w:jc w:val="left"/>
            </w:pPr>
            <w:r>
              <w:t xml:space="preserve">PPE</w:t>
            </w:r>
          </w:p>
        </w:tc>
        <w:tc>
          <w:tcPr/>
          <w:p>
            <w:pPr>
              <w:pStyle w:val="Compact"/>
              <w:jc w:val="left"/>
            </w:pPr>
            <w:r>
              <w:t xml:space="preserve">Helmet, gloves, apron, respirator</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Calipers, multimeter, anemometer</w:t>
            </w:r>
          </w:p>
        </w:tc>
        <w:tc>
          <w:tcPr/>
          <w:p>
            <w:pPr>
              <w:pStyle w:val="Compact"/>
              <w:jc w:val="left"/>
            </w:pPr>
            <w:r>
              <w:t xml:space="preserve">1 set</w:t>
            </w:r>
          </w:p>
        </w:tc>
      </w:tr>
    </w:tbl>
    <w:bookmarkEnd w:id="24"/>
    <w:bookmarkStart w:id="25" w:name="safety-procedures"/>
    <w:p>
      <w:pPr>
        <w:pStyle w:val="Heading2"/>
      </w:pPr>
      <w:r>
        <w:t xml:space="preserve">5. Safety Procedures</w:t>
      </w:r>
    </w:p>
    <w:p>
      <w:pPr>
        <w:pStyle w:val="FirstParagraph"/>
      </w:pPr>
      <w:r>
        <w:t xml:space="preserve">Given the hazardous nature of welding, strict safety measures must be enforced:</w:t>
      </w:r>
    </w:p>
    <w:p>
      <w:pPr>
        <w:numPr>
          <w:ilvl w:val="0"/>
          <w:numId w:val="1002"/>
        </w:numPr>
        <w:pStyle w:val="Compact"/>
      </w:pPr>
      <w:r>
        <w:t xml:space="preserve">Ensure proper ventilation to mitigate fume exposure, especially in enclosed spaces common in Accra workshops.</w:t>
      </w:r>
    </w:p>
    <w:p>
      <w:pPr>
        <w:numPr>
          <w:ilvl w:val="0"/>
          <w:numId w:val="1002"/>
        </w:numPr>
        <w:pStyle w:val="Compact"/>
      </w:pPr>
      <w:r>
        <w:t xml:space="preserve">Verify that the Welder is grounded to prevent electrical shocks.</w:t>
      </w:r>
    </w:p>
    <w:p>
      <w:pPr>
        <w:numPr>
          <w:ilvl w:val="0"/>
          <w:numId w:val="1002"/>
        </w:numPr>
        <w:pStyle w:val="Compact"/>
      </w:pPr>
      <w:r>
        <w:t xml:space="preserve">Use fire-resistant barriers to protect surrounding materials.</w:t>
      </w:r>
    </w:p>
    <w:p>
      <w:pPr>
        <w:numPr>
          <w:ilvl w:val="0"/>
          <w:numId w:val="1002"/>
        </w:numPr>
        <w:pStyle w:val="Compact"/>
      </w:pPr>
      <w:r>
        <w:t xml:space="preserve">Train all personnel on emergency procedures, including fire extinguisher use.</w:t>
      </w:r>
    </w:p>
    <w:bookmarkEnd w:id="25"/>
    <w:bookmarkStart w:id="29" w:name="experimental-procedure"/>
    <w:p>
      <w:pPr>
        <w:pStyle w:val="Heading2"/>
      </w:pPr>
      <w:r>
        <w:t xml:space="preserve">6. Experimental Procedure</w:t>
      </w:r>
    </w:p>
    <w:bookmarkStart w:id="26" w:name="setup"/>
    <w:p>
      <w:pPr>
        <w:pStyle w:val="Heading3"/>
      </w:pPr>
      <w:r>
        <w:t xml:space="preserve">6.1 Setup</w:t>
      </w:r>
    </w:p>
    <w:p>
      <w:pPr>
        <w:numPr>
          <w:ilvl w:val="0"/>
          <w:numId w:val="1003"/>
        </w:numPr>
        <w:pStyle w:val="Compact"/>
      </w:pPr>
      <w:r>
        <w:t xml:space="preserve">Position the Welder in a controlled environment within Accra, ensuring minimal external interference.</w:t>
      </w:r>
    </w:p>
    <w:p>
      <w:pPr>
        <w:numPr>
          <w:ilvl w:val="0"/>
          <w:numId w:val="1003"/>
        </w:numPr>
        <w:pStyle w:val="Compact"/>
      </w:pPr>
      <w:r>
        <w:t xml:space="preserve">Connect the Welder to a stable power source, using a voltage stabilizer if necessary.</w:t>
      </w:r>
    </w:p>
    <w:p>
      <w:pPr>
        <w:numPr>
          <w:ilvl w:val="0"/>
          <w:numId w:val="1003"/>
        </w:numPr>
        <w:pStyle w:val="Compact"/>
      </w:pPr>
      <w:r>
        <w:t xml:space="preserve">Prepare the base metal by cleaning surfaces to remove rust, oil, or moisture.</w:t>
      </w:r>
    </w:p>
    <w:bookmarkEnd w:id="26"/>
    <w:bookmarkStart w:id="27" w:name="execution"/>
    <w:p>
      <w:pPr>
        <w:pStyle w:val="Heading3"/>
      </w:pPr>
      <w:r>
        <w:t xml:space="preserve">6.2 Execution</w:t>
      </w:r>
    </w:p>
    <w:p>
      <w:pPr>
        <w:numPr>
          <w:ilvl w:val="0"/>
          <w:numId w:val="1004"/>
        </w:numPr>
        <w:pStyle w:val="Compact"/>
      </w:pPr>
      <w:r>
        <w:t xml:space="preserve">Set the Welder parameters (voltage, amperage, wire feed speed) according to the manufacturer’s recommendations.</w:t>
      </w:r>
    </w:p>
    <w:p>
      <w:pPr>
        <w:numPr>
          <w:ilvl w:val="0"/>
          <w:numId w:val="1004"/>
        </w:numPr>
        <w:pStyle w:val="Compact"/>
      </w:pPr>
      <w:r>
        <w:t xml:space="preserve">Perform test welds on the prepared metal plates, varying parameters to assess performance under different conditions.</w:t>
      </w:r>
    </w:p>
    <w:p>
      <w:pPr>
        <w:numPr>
          <w:ilvl w:val="0"/>
          <w:numId w:val="1004"/>
        </w:numPr>
        <w:pStyle w:val="Compact"/>
      </w:pPr>
      <w:r>
        <w:t xml:space="preserve">Monitor environmental factors (temperature, humidity) throughout the experiment.</w:t>
      </w:r>
    </w:p>
    <w:bookmarkEnd w:id="27"/>
    <w:bookmarkStart w:id="28" w:name="data-collection"/>
    <w:p>
      <w:pPr>
        <w:pStyle w:val="Heading3"/>
      </w:pPr>
      <w:r>
        <w:t xml:space="preserve">6.3 Data Collection</w:t>
      </w:r>
    </w:p>
    <w:p>
      <w:pPr>
        <w:numPr>
          <w:ilvl w:val="0"/>
          <w:numId w:val="1005"/>
        </w:numPr>
        <w:pStyle w:val="Compact"/>
      </w:pPr>
      <w:r>
        <w:t xml:space="preserve">Record weld dimensions, penetration depth, and surface quality.</w:t>
      </w:r>
    </w:p>
    <w:p>
      <w:pPr>
        <w:numPr>
          <w:ilvl w:val="0"/>
          <w:numId w:val="1005"/>
        </w:numPr>
        <w:pStyle w:val="Compact"/>
      </w:pPr>
      <w:r>
        <w:t xml:space="preserve">Measure power consumption and note any fluctuations.</w:t>
      </w:r>
    </w:p>
    <w:p>
      <w:pPr>
        <w:numPr>
          <w:ilvl w:val="0"/>
          <w:numId w:val="1005"/>
        </w:numPr>
        <w:pStyle w:val="Compact"/>
      </w:pPr>
      <w:r>
        <w:t xml:space="preserve">Document operator feedback on equipment handling and comfort.</w:t>
      </w:r>
    </w:p>
    <w:bookmarkEnd w:id="28"/>
    <w:bookmarkEnd w:id="29"/>
    <w:bookmarkStart w:id="30" w:name="quality-assessment"/>
    <w:p>
      <w:pPr>
        <w:pStyle w:val="Heading2"/>
      </w:pPr>
      <w:r>
        <w:t xml:space="preserve">7. Quality Assessment</w:t>
      </w:r>
    </w:p>
    <w:p>
      <w:pPr>
        <w:pStyle w:val="FirstParagraph"/>
      </w:pPr>
      <w:r>
        <w:t xml:space="preserve">Weld quality will be evaluated based on:</w:t>
      </w:r>
    </w:p>
    <w:p>
      <w:pPr>
        <w:numPr>
          <w:ilvl w:val="0"/>
          <w:numId w:val="1006"/>
        </w:numPr>
        <w:pStyle w:val="Compact"/>
      </w:pPr>
      <w:r>
        <w:rPr>
          <w:bCs/>
          <w:b/>
        </w:rPr>
        <w:t xml:space="preserve">Visual Inspection:</w:t>
      </w:r>
      <w:r>
        <w:t xml:space="preserve"> </w:t>
      </w:r>
      <w:r>
        <w:t xml:space="preserve">Check for cracks, porosity, and uneven beads.</w:t>
      </w:r>
    </w:p>
    <w:p>
      <w:pPr>
        <w:numPr>
          <w:ilvl w:val="0"/>
          <w:numId w:val="1006"/>
        </w:numPr>
        <w:pStyle w:val="Compact"/>
      </w:pPr>
      <w:r>
        <w:rPr>
          <w:bCs/>
          <w:b/>
        </w:rPr>
        <w:t xml:space="preserve">Dimensional Accuracy:</w:t>
      </w:r>
      <w:r>
        <w:t xml:space="preserve"> </w:t>
      </w:r>
      <w:r>
        <w:t xml:space="preserve">Ensure welds meet specified thickness and width.</w:t>
      </w:r>
    </w:p>
    <w:p>
      <w:pPr>
        <w:numPr>
          <w:ilvl w:val="0"/>
          <w:numId w:val="1006"/>
        </w:numPr>
        <w:pStyle w:val="Compact"/>
      </w:pPr>
      <w:r>
        <w:rPr>
          <w:bCs/>
          <w:b/>
        </w:rPr>
        <w:t xml:space="preserve">Non-Destructive Testing (NDT):</w:t>
      </w:r>
      <w:r>
        <w:t xml:space="preserve"> </w:t>
      </w:r>
      <w:r>
        <w:t xml:space="preserve">Use ultrasonic or magnetic particle testing if available.</w:t>
      </w:r>
    </w:p>
    <w:bookmarkEnd w:id="30"/>
    <w:bookmarkStart w:id="31" w:name="reporting-and-documentation"/>
    <w:p>
      <w:pPr>
        <w:pStyle w:val="Heading2"/>
      </w:pPr>
      <w:r>
        <w:t xml:space="preserve">8. Reporting and Documentation</w:t>
      </w:r>
    </w:p>
    <w:p>
      <w:pPr>
        <w:pStyle w:val="FirstParagraph"/>
      </w:pPr>
      <w:r>
        <w:t xml:space="preserve">All findings must be compiled into a comprehensive report, including:</w:t>
      </w:r>
    </w:p>
    <w:p>
      <w:pPr>
        <w:numPr>
          <w:ilvl w:val="0"/>
          <w:numId w:val="1007"/>
        </w:numPr>
        <w:pStyle w:val="Compact"/>
      </w:pPr>
      <w:r>
        <w:t xml:space="preserve">Summary of experimental conditions in Ghana Accra.</w:t>
      </w:r>
    </w:p>
    <w:p>
      <w:pPr>
        <w:numPr>
          <w:ilvl w:val="0"/>
          <w:numId w:val="1007"/>
        </w:numPr>
        <w:pStyle w:val="Compact"/>
      </w:pPr>
      <w:r>
        <w:t xml:space="preserve">Performance metrics of the Welder.</w:t>
      </w:r>
    </w:p>
    <w:p>
      <w:pPr>
        <w:numPr>
          <w:ilvl w:val="0"/>
          <w:numId w:val="1007"/>
        </w:numPr>
        <w:pStyle w:val="Compact"/>
      </w:pPr>
      <w:r>
        <w:t xml:space="preserve">Safety observations and recommendations.</w:t>
      </w:r>
    </w:p>
    <w:p>
      <w:pPr>
        <w:numPr>
          <w:ilvl w:val="0"/>
          <w:numId w:val="1007"/>
        </w:numPr>
        <w:pStyle w:val="Compact"/>
      </w:pPr>
      <w:r>
        <w:t xml:space="preserve">Photographic evidence of welds and setup.</w:t>
      </w:r>
    </w:p>
    <w:bookmarkEnd w:id="31"/>
    <w:bookmarkStart w:id="32" w:name="conclusion"/>
    <w:p>
      <w:pPr>
        <w:pStyle w:val="Heading2"/>
      </w:pPr>
      <w:r>
        <w:t xml:space="preserve">9. Conclusion</w:t>
      </w:r>
    </w:p>
    <w:p>
      <w:pPr>
        <w:pStyle w:val="FirstParagraph"/>
      </w:pPr>
      <w:r>
        <w:t xml:space="preserve">This Experiment Protocol provides a structured approach to evaluating a Welder’s performance in the unique context of Ghana Accra. By adhering to these guidelines, stakeholders can ensure reliable, safe, and high-quality welding operations tailored to local conditions.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Ghana Accra</dc:title>
  <dc:creator/>
  <dc:language>en</dc:language>
  <cp:keywords/>
  <dcterms:created xsi:type="dcterms:W3CDTF">2026-10-10T05:45:20Z</dcterms:created>
  <dcterms:modified xsi:type="dcterms:W3CDTF">2026-10-10T05:45:20Z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