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Welding</w:t>
      </w:r>
      <w:r>
        <w:t xml:space="preserve"> </w:t>
      </w:r>
      <w:r>
        <w:t xml:space="preserve">Process</w:t>
      </w:r>
      <w:r>
        <w:t xml:space="preserve"> </w:t>
      </w:r>
      <w:r>
        <w:t xml:space="preserve">Validation</w:t>
      </w:r>
      <w:r>
        <w:t xml:space="preserve"> </w:t>
      </w:r>
      <w:r>
        <w:t xml:space="preserve">in</w:t>
      </w:r>
      <w:r>
        <w:t xml:space="preserve"> </w:t>
      </w:r>
      <w:r>
        <w:t xml:space="preserve">Italy</w:t>
      </w:r>
      <w:r>
        <w:t xml:space="preserve"> </w:t>
      </w:r>
      <w:r>
        <w:t xml:space="preserve">Rome</w:t>
      </w:r>
    </w:p>
    <w:bookmarkStart w:id="20" w:name="X4ace16bd04003f8df5ad2c325e25559c802622e"/>
    <w:p>
      <w:pPr>
        <w:pStyle w:val="Heading1"/>
      </w:pPr>
      <w:r>
        <w:t xml:space="preserve">Experiment Protocol: Welding Process Validation in Italy Rome</w:t>
      </w:r>
    </w:p>
    <w:p>
      <w:pPr>
        <w:pStyle w:val="FirstParagraph"/>
      </w:pPr>
      <w:r>
        <w:rPr>
          <w:bCs/>
          <w:b/>
        </w:rPr>
        <w:t xml:space="preserve">Document ID:</w:t>
      </w:r>
      <w:r>
        <w:t xml:space="preserve"> </w:t>
      </w:r>
      <w:r>
        <w:t xml:space="preserve">EP-WELD-ROM-2024-001</w:t>
      </w:r>
    </w:p>
    <w:p>
      <w:pPr>
        <w:pStyle w:val="BodyText"/>
      </w:pPr>
      <w:r>
        <w:rPr>
          <w:bCs/>
          <w:b/>
        </w:rPr>
        <w:t xml:space="preserve">Location:</w:t>
      </w:r>
      <w:r>
        <w:t xml:space="preserve"> </w:t>
      </w:r>
      <w:r>
        <w:t xml:space="preserve">Italy Rome, Industrial Testing Facility, Via dell'Innovazione, 00100 Roma RM</w:t>
      </w:r>
    </w:p>
    <w:p>
      <w:pPr>
        <w:pStyle w:val="BodyText"/>
      </w:pPr>
      <w:r>
        <w:rPr>
          <w:bCs/>
          <w:b/>
        </w:rPr>
        <w:t xml:space="preserve">Date:</w:t>
      </w:r>
      <w:r>
        <w:t xml:space="preserve"> </w:t>
      </w:r>
      <w:r>
        <w:t xml:space="preserve">October 2024</w:t>
      </w:r>
    </w:p>
    <w:p>
      <w:pPr>
        <w:pStyle w:val="BodyText"/>
      </w:pPr>
      <w:r>
        <w:rPr>
          <w:bCs/>
          <w:b/>
        </w:rPr>
        <w:t xml:space="preserve">Prepared By:</w:t>
      </w:r>
      <w:r>
        <w:t xml:space="preserve"> </w:t>
      </w:r>
      <w:r>
        <w:t xml:space="preserve">Lead Welding Engineer</w:t>
      </w:r>
    </w:p>
    <w:p>
      <w:pPr>
        <w:pStyle w:val="BodyText"/>
      </w:pPr>
      <w:r>
        <w:rPr>
          <w:bCs/>
          <w:b/>
        </w:rPr>
        <w:t xml:space="preserve">Approved By:</w:t>
      </w:r>
      <w:r>
        <w:t xml:space="preserve"> </w:t>
      </w:r>
      <w:r>
        <w:t xml:space="preserve">Quality Assurance Manager</w:t>
      </w:r>
    </w:p>
    <w:bookmarkEnd w:id="20"/>
    <w:bookmarkStart w:id="21" w:name="objective"/>
    <w:p>
      <w:pPr>
        <w:pStyle w:val="Heading2"/>
      </w:pPr>
      <w:r>
        <w:t xml:space="preserve">1. Objective</w:t>
      </w:r>
    </w:p>
    <w:p>
      <w:pPr>
        <w:pStyle w:val="FirstParagraph"/>
      </w:pPr>
      <w:r>
        <w:t xml:space="preserve">The primary objective of this Experiment Protocol is to validate the performance, consistency, and safety of a new automated Welder system under controlled conditions in Italy Rome. This validation aims to ensure that the Welder meets the stringent requirements of European standards (EN ISO 3834) and local Italian regulations (D.Lgs. 81/08) for industrial welding operations. The experiment will assess the Welder's ability to produce high-quality welds on carbon steel and stainless steel materials, commonly used in construction and manufacturing sectors in Italy Rome.</w:t>
      </w:r>
    </w:p>
    <w:bookmarkEnd w:id="21"/>
    <w:bookmarkStart w:id="22" w:name="scope"/>
    <w:p>
      <w:pPr>
        <w:pStyle w:val="Heading2"/>
      </w:pPr>
      <w:r>
        <w:t xml:space="preserve">2. Scope</w:t>
      </w:r>
    </w:p>
    <w:p>
      <w:pPr>
        <w:pStyle w:val="FirstParagraph"/>
      </w:pPr>
      <w:r>
        <w:t xml:space="preserve">This Experiment Protocol applies to the testing of the Welder system within the designated testing facility in Italy Rome. The scope includes:</w:t>
      </w:r>
    </w:p>
    <w:p>
      <w:pPr>
        <w:numPr>
          <w:ilvl w:val="0"/>
          <w:numId w:val="1001"/>
        </w:numPr>
        <w:pStyle w:val="Compact"/>
      </w:pPr>
      <w:r>
        <w:t xml:space="preserve">Evaluation of weld quality using non-destructive testing (NDT) methods.</w:t>
      </w:r>
    </w:p>
    <w:p>
      <w:pPr>
        <w:numPr>
          <w:ilvl w:val="0"/>
          <w:numId w:val="1001"/>
        </w:numPr>
        <w:pStyle w:val="Compact"/>
      </w:pPr>
      <w:r>
        <w:t xml:space="preserve">Assessment of the Welder's operational efficiency and repeatability.</w:t>
      </w:r>
    </w:p>
    <w:p>
      <w:pPr>
        <w:numPr>
          <w:ilvl w:val="0"/>
          <w:numId w:val="1001"/>
        </w:numPr>
        <w:pStyle w:val="Compact"/>
      </w:pPr>
      <w:r>
        <w:t xml:space="preserve">Verification of compliance with safety standards specific to Italy Rome.</w:t>
      </w:r>
    </w:p>
    <w:p>
      <w:pPr>
        <w:numPr>
          <w:ilvl w:val="0"/>
          <w:numId w:val="1001"/>
        </w:numPr>
        <w:pStyle w:val="Compact"/>
      </w:pPr>
      <w:r>
        <w:t xml:space="preserve">Documentation of any deviations or anomalies observed during the experiment.</w:t>
      </w:r>
    </w:p>
    <w:bookmarkEnd w:id="22"/>
    <w:bookmarkStart w:id="23" w:name="materials-and-equipment"/>
    <w:p>
      <w:pPr>
        <w:pStyle w:val="Heading2"/>
      </w:pPr>
      <w:r>
        <w:t xml:space="preserve">3. Materials and Equipment</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Item</w:t>
            </w:r>
          </w:p>
        </w:tc>
        <w:tc>
          <w:tcPr/>
          <w:p>
            <w:pPr>
              <w:pStyle w:val="Compact"/>
              <w:jc w:val="left"/>
            </w:pPr>
            <w:r>
              <w:t xml:space="preserve">Description</w:t>
            </w:r>
          </w:p>
        </w:tc>
        <w:tc>
          <w:tcPr/>
          <w:p>
            <w:pPr>
              <w:pStyle w:val="Compact"/>
              <w:jc w:val="left"/>
            </w:pPr>
            <w:r>
              <w:t xml:space="preserve">Quantity</w:t>
            </w:r>
          </w:p>
        </w:tc>
      </w:tr>
      <w:tr>
        <w:tc>
          <w:tcPr/>
          <w:p>
            <w:pPr>
              <w:pStyle w:val="Compact"/>
              <w:jc w:val="left"/>
            </w:pPr>
            <w:r>
              <w:t xml:space="preserve">Welder System</w:t>
            </w:r>
          </w:p>
        </w:tc>
        <w:tc>
          <w:tcPr/>
          <w:p>
            <w:pPr>
              <w:pStyle w:val="Compact"/>
              <w:jc w:val="left"/>
            </w:pPr>
            <w:r>
              <w:t xml:space="preserve">Automated MIG/MAG Welder with programmable controls</w:t>
            </w:r>
          </w:p>
        </w:tc>
        <w:tc>
          <w:tcPr/>
          <w:p>
            <w:pPr>
              <w:pStyle w:val="Compact"/>
              <w:jc w:val="left"/>
            </w:pPr>
            <w:r>
              <w:t xml:space="preserve">1</w:t>
            </w:r>
          </w:p>
        </w:tc>
      </w:tr>
      <w:tr>
        <w:tc>
          <w:tcPr/>
          <w:p>
            <w:pPr>
              <w:pStyle w:val="Compact"/>
              <w:jc w:val="left"/>
            </w:pPr>
            <w:r>
              <w:t xml:space="preserve">Base Materials</w:t>
            </w:r>
          </w:p>
        </w:tc>
        <w:tc>
          <w:tcPr/>
          <w:p>
            <w:pPr>
              <w:pStyle w:val="Compact"/>
              <w:jc w:val="left"/>
            </w:pPr>
            <w:r>
              <w:t xml:space="preserve">Carbon Steel (S235JR) and Stainless Steel (AISI 304) plates</w:t>
            </w:r>
          </w:p>
        </w:tc>
        <w:tc>
          <w:tcPr/>
          <w:p>
            <w:pPr>
              <w:pStyle w:val="Compact"/>
              <w:jc w:val="left"/>
            </w:pPr>
            <w:r>
              <w:t xml:space="preserve">20</w:t>
            </w:r>
          </w:p>
        </w:tc>
      </w:tr>
      <w:tr>
        <w:tc>
          <w:tcPr/>
          <w:p>
            <w:pPr>
              <w:pStyle w:val="Compact"/>
              <w:jc w:val="left"/>
            </w:pPr>
            <w:r>
              <w:t xml:space="preserve">Filler Material</w:t>
            </w:r>
          </w:p>
        </w:tc>
        <w:tc>
          <w:tcPr/>
          <w:p>
            <w:pPr>
              <w:pStyle w:val="Compact"/>
              <w:jc w:val="left"/>
            </w:pPr>
            <w:r>
              <w:t xml:space="preserve">ER70S-6 wire for carbon steel, ER308L for stainless steel</w:t>
            </w:r>
          </w:p>
        </w:tc>
        <w:tc>
          <w:tcPr/>
          <w:p>
            <w:pPr>
              <w:pStyle w:val="Compact"/>
              <w:jc w:val="left"/>
            </w:pPr>
            <w:r>
              <w:t xml:space="preserve">5 kg each</w:t>
            </w:r>
          </w:p>
        </w:tc>
      </w:tr>
      <w:tr>
        <w:tc>
          <w:tcPr/>
          <w:p>
            <w:pPr>
              <w:pStyle w:val="Compact"/>
              <w:jc w:val="left"/>
            </w:pPr>
            <w:r>
              <w:t xml:space="preserve">Shielding Gas</w:t>
            </w:r>
          </w:p>
        </w:tc>
        <w:tc>
          <w:tcPr/>
          <w:p>
            <w:pPr>
              <w:pStyle w:val="Compact"/>
              <w:jc w:val="left"/>
            </w:pPr>
            <w:r>
              <w:t xml:space="preserve">Argon-CO2 mixture (80/20)</w:t>
            </w:r>
          </w:p>
        </w:tc>
        <w:tc>
          <w:tcPr/>
          <w:p>
            <w:pPr>
              <w:pStyle w:val="Compact"/>
              <w:jc w:val="left"/>
            </w:pPr>
            <w:r>
              <w:t xml:space="preserve">2 cylinders</w:t>
            </w:r>
          </w:p>
        </w:tc>
      </w:tr>
      <w:tr>
        <w:tc>
          <w:tcPr/>
          <w:p>
            <w:pPr>
              <w:pStyle w:val="Compact"/>
              <w:jc w:val="left"/>
            </w:pPr>
            <w:r>
              <w:t xml:space="preserve">NDT Equipment</w:t>
            </w:r>
          </w:p>
        </w:tc>
        <w:tc>
          <w:tcPr/>
          <w:p>
            <w:pPr>
              <w:pStyle w:val="Compact"/>
              <w:jc w:val="left"/>
            </w:pPr>
            <w:r>
              <w:t xml:space="preserve">Ultrasonic testing device, dye penetrant kit</w:t>
            </w:r>
          </w:p>
        </w:tc>
        <w:tc>
          <w:tcPr/>
          <w:p>
            <w:pPr>
              <w:pStyle w:val="Compact"/>
              <w:jc w:val="left"/>
            </w:pPr>
            <w:r>
              <w:t xml:space="preserve">1 set</w:t>
            </w:r>
          </w:p>
        </w:tc>
      </w:tr>
      <w:tr>
        <w:tc>
          <w:tcPr/>
          <w:p>
            <w:pPr>
              <w:pStyle w:val="Compact"/>
              <w:jc w:val="left"/>
            </w:pPr>
            <w:r>
              <w:t xml:space="preserve">Safety Gear</w:t>
            </w:r>
          </w:p>
        </w:tc>
        <w:tc>
          <w:tcPr/>
          <w:p>
            <w:pPr>
              <w:pStyle w:val="Compact"/>
              <w:jc w:val="left"/>
            </w:pPr>
            <w:r>
              <w:t xml:space="preserve">Welding helmets, gloves, fire-resistant clothing</w:t>
            </w:r>
          </w:p>
        </w:tc>
        <w:tc>
          <w:tcPr/>
          <w:p>
            <w:pPr>
              <w:pStyle w:val="Compact"/>
              <w:jc w:val="left"/>
            </w:pPr>
            <w:r>
              <w:t xml:space="preserve">5 sets</w:t>
            </w:r>
          </w:p>
        </w:tc>
      </w:tr>
    </w:tbl>
    <w:bookmarkEnd w:id="23"/>
    <w:bookmarkStart w:id="28" w:name="procedure"/>
    <w:p>
      <w:pPr>
        <w:pStyle w:val="Heading2"/>
      </w:pPr>
      <w:r>
        <w:t xml:space="preserve">4. Procedure</w:t>
      </w:r>
    </w:p>
    <w:bookmarkStart w:id="24" w:name="preparation"/>
    <w:p>
      <w:pPr>
        <w:pStyle w:val="Heading3"/>
      </w:pPr>
      <w:r>
        <w:t xml:space="preserve">4.1 Preparation</w:t>
      </w:r>
    </w:p>
    <w:p>
      <w:pPr>
        <w:pStyle w:val="FirstParagraph"/>
      </w:pPr>
      <w:r>
        <w:t xml:space="preserve">Before initiating the experiment, ensure that the Welder system is calibrated according to the manufacturer's specifications. Verify that all materials are clean and free from contaminants. Set up the testing area in Italy Rome to comply with local safety regulations, including proper ventilation and fire prevention measures.</w:t>
      </w:r>
    </w:p>
    <w:bookmarkEnd w:id="24"/>
    <w:bookmarkStart w:id="25" w:name="welding-process"/>
    <w:p>
      <w:pPr>
        <w:pStyle w:val="Heading3"/>
      </w:pPr>
      <w:r>
        <w:t xml:space="preserve">4.2 Welding Process</w:t>
      </w:r>
    </w:p>
    <w:p>
      <w:pPr>
        <w:pStyle w:val="FirstParagraph"/>
      </w:pPr>
      <w:r>
        <w:t xml:space="preserve">Perform welding operations on the prepared base materials using the Welder system. Follow the predefined welding parameters for each material type. Record all settings, including voltage, current, travel speed, and gas flow rate. Conduct a minimum of 10 welds per material type to ensure statistical significance.</w:t>
      </w:r>
    </w:p>
    <w:bookmarkEnd w:id="25"/>
    <w:bookmarkStart w:id="26" w:name="non-destructive-testing"/>
    <w:p>
      <w:pPr>
        <w:pStyle w:val="Heading3"/>
      </w:pPr>
      <w:r>
        <w:t xml:space="preserve">4.3 Non-Destructive Testing</w:t>
      </w:r>
    </w:p>
    <w:p>
      <w:pPr>
        <w:pStyle w:val="FirstParagraph"/>
      </w:pPr>
      <w:r>
        <w:t xml:space="preserve">After completing the welding operations, subject the welds to non-destructive testing using ultrasonic testing and dye penetrant methods. Document any defects or irregularities observed during the testing process.</w:t>
      </w:r>
    </w:p>
    <w:bookmarkEnd w:id="26"/>
    <w:bookmarkStart w:id="27" w:name="data-collection"/>
    <w:p>
      <w:pPr>
        <w:pStyle w:val="Heading3"/>
      </w:pPr>
      <w:r>
        <w:t xml:space="preserve">4.4 Data Collection</w:t>
      </w:r>
    </w:p>
    <w:p>
      <w:pPr>
        <w:pStyle w:val="FirstParagraph"/>
      </w:pPr>
      <w:r>
        <w:t xml:space="preserve">Collect and analyze data related to weld quality, operational efficiency, and safety compliance. Compare the results against the established criteria to determine the Welder's performance.</w:t>
      </w:r>
    </w:p>
    <w:bookmarkEnd w:id="27"/>
    <w:bookmarkEnd w:id="28"/>
    <w:bookmarkStart w:id="29" w:name="safety-considerations"/>
    <w:p>
      <w:pPr>
        <w:pStyle w:val="Heading2"/>
      </w:pPr>
      <w:r>
        <w:t xml:space="preserve">5. Safety Considerations</w:t>
      </w:r>
    </w:p>
    <w:p>
      <w:pPr>
        <w:pStyle w:val="FirstParagraph"/>
      </w:pPr>
      <w:r>
        <w:t xml:space="preserve">Safety is a critical aspect of this Experiment Protocol, especially in Italy Rome, where occupational health and safety regulations are strictly enforced. Ensure that all personnel involved in the experiment are trained in safe welding practices and are equipped with appropriate personal protective equipment (PPE). Implement measures to mitigate risks associated with fumes, UV radiation, and fire hazards. Regularly inspect the Welder system and testing area to identify and address potential safety issues.</w:t>
      </w:r>
    </w:p>
    <w:bookmarkEnd w:id="29"/>
    <w:bookmarkStart w:id="30" w:name="expected-outcomes"/>
    <w:p>
      <w:pPr>
        <w:pStyle w:val="Heading2"/>
      </w:pPr>
      <w:r>
        <w:t xml:space="preserve">6. Expected Outcomes</w:t>
      </w:r>
    </w:p>
    <w:p>
      <w:pPr>
        <w:pStyle w:val="FirstParagraph"/>
      </w:pPr>
      <w:r>
        <w:t xml:space="preserve">The expected outcomes of this experiment include:</w:t>
      </w:r>
    </w:p>
    <w:p>
      <w:pPr>
        <w:numPr>
          <w:ilvl w:val="0"/>
          <w:numId w:val="1002"/>
        </w:numPr>
        <w:pStyle w:val="Compact"/>
      </w:pPr>
      <w:r>
        <w:t xml:space="preserve">Confirmation that the Welder system produces welds of acceptable quality, meeting EN ISO 3834 standards.</w:t>
      </w:r>
    </w:p>
    <w:p>
      <w:pPr>
        <w:numPr>
          <w:ilvl w:val="0"/>
          <w:numId w:val="1002"/>
        </w:numPr>
        <w:pStyle w:val="Compact"/>
      </w:pPr>
      <w:r>
        <w:t xml:space="preserve">Demonstration of the Welder's ability to operate efficiently and consistently under controlled conditions in Italy Rome.</w:t>
      </w:r>
    </w:p>
    <w:p>
      <w:pPr>
        <w:numPr>
          <w:ilvl w:val="0"/>
          <w:numId w:val="1002"/>
        </w:numPr>
        <w:pStyle w:val="Compact"/>
      </w:pPr>
      <w:r>
        <w:t xml:space="preserve">Identification of any areas for improvement in the Welder's design or operation.</w:t>
      </w:r>
    </w:p>
    <w:p>
      <w:pPr>
        <w:numPr>
          <w:ilvl w:val="0"/>
          <w:numId w:val="1002"/>
        </w:numPr>
        <w:pStyle w:val="Compact"/>
      </w:pPr>
      <w:r>
        <w:t xml:space="preserve">Compliance with all relevant safety and regulatory requirements in Italy Rome.</w:t>
      </w:r>
    </w:p>
    <w:bookmarkEnd w:id="30"/>
    <w:bookmarkStart w:id="31" w:name="conclusion"/>
    <w:p>
      <w:pPr>
        <w:pStyle w:val="Heading2"/>
      </w:pPr>
      <w:r>
        <w:t xml:space="preserve">7. Conclusion</w:t>
      </w:r>
    </w:p>
    <w:p>
      <w:pPr>
        <w:pStyle w:val="FirstParagraph"/>
      </w:pPr>
      <w:r>
        <w:t xml:space="preserve">This Experiment Protocol outlines the steps necessary to validate the performance of a new Welder system in Italy Rome. By adhering to this protocol, we aim to ensure that the Welder meets the high standards required for industrial applications in Italy Rome. The results of this experiment will provide valuable insights into the Welder's capabilities and help guide future improvements.</w:t>
      </w:r>
    </w:p>
    <w:bookmarkEnd w:id="31"/>
    <w:p>
      <w:pPr>
        <w:pStyle w:val="BodyText"/>
      </w:pPr>
      <w:r>
        <w:t xml:space="preserve">End of Document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Welding Process Validation in Italy Rome</dc:title>
  <dc:creator/>
  <dc:language>en</dc:language>
  <cp:keywords/>
  <dcterms:created xsi:type="dcterms:W3CDTF">2026-10-10T01:45:27Z</dcterms:created>
  <dcterms:modified xsi:type="dcterms:W3CDTF">2026-10-10T01:45:27Z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