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Experiment</w:t>
      </w:r>
      <w:r>
        <w:t xml:space="preserve"> </w:t>
      </w:r>
      <w:r>
        <w:t xml:space="preserve">Protocol:</w:t>
      </w:r>
      <w:r>
        <w:t xml:space="preserve"> </w:t>
      </w:r>
      <w:r>
        <w:t xml:space="preserve">Welding</w:t>
      </w:r>
      <w:r>
        <w:t xml:space="preserve"> </w:t>
      </w:r>
      <w:r>
        <w:t xml:space="preserve">Operations</w:t>
      </w:r>
      <w:r>
        <w:t xml:space="preserve"> </w:t>
      </w:r>
      <w:r>
        <w:t xml:space="preserve">in</w:t>
      </w:r>
      <w:r>
        <w:t xml:space="preserve"> </w:t>
      </w:r>
      <w:r>
        <w:t xml:space="preserve">Kenya</w:t>
      </w:r>
      <w:r>
        <w:t xml:space="preserve"> </w:t>
      </w:r>
      <w:r>
        <w:t xml:space="preserve">Nairobi</w:t>
      </w:r>
    </w:p>
    <w:bookmarkStart w:id="20" w:name="Xe92ac291fe10724399f9b5b53d4138ab391b539"/>
    <w:p>
      <w:pPr>
        <w:pStyle w:val="Heading1"/>
      </w:pPr>
      <w:r>
        <w:t xml:space="preserve">Experiment Protocol: Welding Operations in Kenya Nairobi</w:t>
      </w:r>
    </w:p>
    <w:p>
      <w:pPr>
        <w:pStyle w:val="FirstParagraph"/>
      </w:pPr>
      <w:r>
        <w:rPr>
          <w:bCs/>
          <w:b/>
        </w:rPr>
        <w:t xml:space="preserve">Document ID:</w:t>
      </w:r>
      <w:r>
        <w:t xml:space="preserve"> </w:t>
      </w:r>
      <w:r>
        <w:t xml:space="preserve">EXP-WLD-NBO-2024-001</w:t>
      </w:r>
    </w:p>
    <w:p>
      <w:pPr>
        <w:pStyle w:val="BodyText"/>
      </w:pPr>
      <w:r>
        <w:rPr>
          <w:bCs/>
          <w:b/>
        </w:rPr>
        <w:t xml:space="preserve">Location:</w:t>
      </w:r>
      <w:r>
        <w:t xml:space="preserve"> </w:t>
      </w:r>
      <w:r>
        <w:t xml:space="preserve">Nairobi, Kenya</w:t>
      </w:r>
    </w:p>
    <w:p>
      <w:pPr>
        <w:pStyle w:val="BodyText"/>
      </w:pPr>
      <w:r>
        <w:rPr>
          <w:bCs/>
          <w:b/>
        </w:rPr>
        <w:t xml:space="preserve">Date:</w:t>
      </w:r>
      <w:r>
        <w:t xml:space="preserve"> </w:t>
      </w:r>
      <w:r>
        <w:t xml:space="preserve">October 2024</w:t>
      </w:r>
    </w:p>
    <w:p>
      <w:pPr>
        <w:pStyle w:val="BodyText"/>
      </w:pPr>
      <w:r>
        <w:rPr>
          <w:bCs/>
          <w:b/>
        </w:rPr>
        <w:t xml:space="preserve">Prepared By:</w:t>
      </w:r>
      <w:r>
        <w:t xml:space="preserve"> </w:t>
      </w:r>
      <w:r>
        <w:t xml:space="preserve">Technical Research Division</w:t>
      </w:r>
    </w:p>
    <w:bookmarkEnd w:id="20"/>
    <w:bookmarkStart w:id="21" w:name="introduction-and-objective"/>
    <w:p>
      <w:pPr>
        <w:pStyle w:val="Heading2"/>
      </w:pPr>
      <w:r>
        <w:t xml:space="preserve">1. Introduction and Objective</w:t>
      </w:r>
    </w:p>
    <w:p>
      <w:pPr>
        <w:pStyle w:val="FirstParagraph"/>
      </w:pPr>
      <w:r>
        <w:t xml:space="preserve">This Experiment Protocol outlines the procedures for conducting welding experiments in Nairobi, Kenya. The primary objective is to evaluate the performance and safety of welding operations under local environmental conditions, including temperature, humidity, and power supply variability. The protocol ensures compliance with Kenyan safety standards and provides a structured approach for data collection and analysis.</w:t>
      </w:r>
    </w:p>
    <w:p>
      <w:pPr>
        <w:pStyle w:val="BodyText"/>
      </w:pPr>
      <w:r>
        <w:t xml:space="preserve">The experiment focuses on assessing the quality of welds produced by a Welder using various techniques and materials commonly available in Nairobi. The results will contribute to improving welding practices and safety measures in the region.</w:t>
      </w:r>
    </w:p>
    <w:bookmarkEnd w:id="21"/>
    <w:bookmarkStart w:id="22" w:name="scope"/>
    <w:p>
      <w:pPr>
        <w:pStyle w:val="Heading2"/>
      </w:pPr>
      <w:r>
        <w:t xml:space="preserve">2. Scope</w:t>
      </w:r>
    </w:p>
    <w:p>
      <w:pPr>
        <w:pStyle w:val="FirstParagraph"/>
      </w:pPr>
      <w:r>
        <w:t xml:space="preserve">This protocol applies to all welding experiments conducted in Nairobi, Kenya. It covers:</w:t>
      </w:r>
    </w:p>
    <w:p>
      <w:pPr>
        <w:numPr>
          <w:ilvl w:val="0"/>
          <w:numId w:val="1001"/>
        </w:numPr>
        <w:pStyle w:val="Compact"/>
      </w:pPr>
      <w:r>
        <w:t xml:space="preserve">Preparation of welding equipment and materials.</w:t>
      </w:r>
    </w:p>
    <w:p>
      <w:pPr>
        <w:numPr>
          <w:ilvl w:val="0"/>
          <w:numId w:val="1001"/>
        </w:numPr>
        <w:pStyle w:val="Compact"/>
      </w:pPr>
      <w:r>
        <w:t xml:space="preserve">Safety procedures for the Welder and personnel.</w:t>
      </w:r>
    </w:p>
    <w:p>
      <w:pPr>
        <w:numPr>
          <w:ilvl w:val="0"/>
          <w:numId w:val="1001"/>
        </w:numPr>
        <w:pStyle w:val="Compact"/>
      </w:pPr>
      <w:r>
        <w:t xml:space="preserve">Execution of welding operations.</w:t>
      </w:r>
    </w:p>
    <w:p>
      <w:pPr>
        <w:numPr>
          <w:ilvl w:val="0"/>
          <w:numId w:val="1001"/>
        </w:numPr>
        <w:pStyle w:val="Compact"/>
      </w:pPr>
      <w:r>
        <w:t xml:space="preserve">Data collection and analysis.</w:t>
      </w:r>
    </w:p>
    <w:p>
      <w:pPr>
        <w:numPr>
          <w:ilvl w:val="0"/>
          <w:numId w:val="1001"/>
        </w:numPr>
        <w:pStyle w:val="Compact"/>
      </w:pPr>
      <w:r>
        <w:t xml:space="preserve">Reporting and documentation.</w:t>
      </w:r>
    </w:p>
    <w:p>
      <w:pPr>
        <w:pStyle w:val="FirstParagraph"/>
      </w:pPr>
      <w:r>
        <w:t xml:space="preserve">The protocol is designed to be adaptable to different welding techniques, including arc welding, MIG welding, and TIG welding, depending on the specific objectives of the experiment.</w:t>
      </w:r>
    </w:p>
    <w:bookmarkEnd w:id="22"/>
    <w:bookmarkStart w:id="23" w:name="equipment-and-materials"/>
    <w:p>
      <w:pPr>
        <w:pStyle w:val="Heading2"/>
      </w:pPr>
      <w:r>
        <w:t xml:space="preserve">3. Equipment and Materials</w:t>
      </w:r>
    </w:p>
    <w:p>
      <w:pPr>
        <w:pStyle w:val="FirstParagraph"/>
      </w:pPr>
      <w:r>
        <w:t xml:space="preserve">The following equipment and materials are required for the experiment:</w:t>
      </w:r>
    </w:p>
    <w:tbl>
      <w:tblPr>
        <w:tblStyle w:val="Table"/>
        <w:tblW w:type="auto" w:w="0"/>
        <w:tblLook w:firstRow="1" w:lastRow="0" w:firstColumn="0" w:lastColumn="0" w:noHBand="0" w:noVBand="0" w:val="0020"/>
      </w:tblPr>
      <w:tblGrid>
        <w:gridCol w:w="2640"/>
        <w:gridCol w:w="2640"/>
        <w:gridCol w:w="2640"/>
      </w:tblGrid>
      <w:tr>
        <w:trPr>
          <w:tblHeader w:val="true"/>
        </w:trPr>
        <w:tc>
          <w:tcPr/>
          <w:p>
            <w:pPr>
              <w:pStyle w:val="Compact"/>
              <w:jc w:val="left"/>
            </w:pPr>
            <w:r>
              <w:t xml:space="preserve">Item</w:t>
            </w:r>
          </w:p>
        </w:tc>
        <w:tc>
          <w:tcPr/>
          <w:p>
            <w:pPr>
              <w:pStyle w:val="Compact"/>
              <w:jc w:val="left"/>
            </w:pPr>
            <w:r>
              <w:t xml:space="preserve">Specifications</w:t>
            </w:r>
          </w:p>
        </w:tc>
        <w:tc>
          <w:tcPr/>
          <w:p>
            <w:pPr>
              <w:pStyle w:val="Compact"/>
              <w:jc w:val="left"/>
            </w:pPr>
            <w:r>
              <w:t xml:space="preserve">Quantity</w:t>
            </w:r>
          </w:p>
        </w:tc>
      </w:tr>
      <w:tr>
        <w:tc>
          <w:tcPr/>
          <w:p>
            <w:pPr>
              <w:pStyle w:val="Compact"/>
              <w:jc w:val="left"/>
            </w:pPr>
            <w:r>
              <w:t xml:space="preserve">Welder</w:t>
            </w:r>
          </w:p>
        </w:tc>
        <w:tc>
          <w:tcPr/>
          <w:p>
            <w:pPr>
              <w:pStyle w:val="Compact"/>
              <w:jc w:val="left"/>
            </w:pPr>
            <w:r>
              <w:t xml:space="preserve">Industrial-grade welding machine</w:t>
            </w:r>
          </w:p>
        </w:tc>
        <w:tc>
          <w:tcPr/>
          <w:p>
            <w:pPr>
              <w:pStyle w:val="Compact"/>
              <w:jc w:val="left"/>
            </w:pPr>
            <w:r>
              <w:t xml:space="preserve">1</w:t>
            </w:r>
          </w:p>
        </w:tc>
      </w:tr>
      <w:tr>
        <w:tc>
          <w:tcPr/>
          <w:p>
            <w:pPr>
              <w:pStyle w:val="Compact"/>
              <w:jc w:val="left"/>
            </w:pPr>
            <w:r>
              <w:t xml:space="preserve">Electrodes</w:t>
            </w:r>
          </w:p>
        </w:tc>
        <w:tc>
          <w:tcPr/>
          <w:p>
            <w:pPr>
              <w:pStyle w:val="Compact"/>
              <w:jc w:val="left"/>
            </w:pPr>
            <w:r>
              <w:t xml:space="preserve">Various types (e.g., E6013, E7018)</w:t>
            </w:r>
          </w:p>
        </w:tc>
        <w:tc>
          <w:tcPr/>
          <w:p>
            <w:pPr>
              <w:pStyle w:val="Compact"/>
              <w:jc w:val="left"/>
            </w:pPr>
            <w:r>
              <w:t xml:space="preserve">As needed</w:t>
            </w:r>
          </w:p>
        </w:tc>
      </w:tr>
      <w:tr>
        <w:tc>
          <w:tcPr/>
          <w:p>
            <w:pPr>
              <w:pStyle w:val="Compact"/>
              <w:jc w:val="left"/>
            </w:pPr>
            <w:r>
              <w:t xml:space="preserve">Protective Gear</w:t>
            </w:r>
          </w:p>
        </w:tc>
        <w:tc>
          <w:tcPr/>
          <w:p>
            <w:pPr>
              <w:pStyle w:val="Compact"/>
              <w:jc w:val="left"/>
            </w:pPr>
            <w:r>
              <w:t xml:space="preserve">Helmet, gloves, apron, boots</w:t>
            </w:r>
          </w:p>
        </w:tc>
        <w:tc>
          <w:tcPr/>
          <w:p>
            <w:pPr>
              <w:pStyle w:val="Compact"/>
              <w:jc w:val="left"/>
            </w:pPr>
            <w:r>
              <w:t xml:space="preserve">1 set per person</w:t>
            </w:r>
          </w:p>
        </w:tc>
      </w:tr>
      <w:tr>
        <w:tc>
          <w:tcPr/>
          <w:p>
            <w:pPr>
              <w:pStyle w:val="Compact"/>
              <w:jc w:val="left"/>
            </w:pPr>
            <w:r>
              <w:t xml:space="preserve">Measuring Tools</w:t>
            </w:r>
          </w:p>
        </w:tc>
        <w:tc>
          <w:tcPr/>
          <w:p>
            <w:pPr>
              <w:pStyle w:val="Compact"/>
              <w:jc w:val="left"/>
            </w:pPr>
            <w:r>
              <w:t xml:space="preserve">Calipers, micrometers, gauges</w:t>
            </w:r>
          </w:p>
        </w:tc>
        <w:tc>
          <w:tcPr/>
          <w:p>
            <w:pPr>
              <w:pStyle w:val="Compact"/>
              <w:jc w:val="left"/>
            </w:pPr>
            <w:r>
              <w:t xml:space="preserve">1 set</w:t>
            </w:r>
          </w:p>
        </w:tc>
      </w:tr>
      <w:tr>
        <w:tc>
          <w:tcPr/>
          <w:p>
            <w:pPr>
              <w:pStyle w:val="Compact"/>
              <w:jc w:val="left"/>
            </w:pPr>
            <w:r>
              <w:t xml:space="preserve">Power Supply</w:t>
            </w:r>
          </w:p>
        </w:tc>
        <w:tc>
          <w:tcPr/>
          <w:p>
            <w:pPr>
              <w:pStyle w:val="Compact"/>
              <w:jc w:val="left"/>
            </w:pPr>
            <w:r>
              <w:t xml:space="preserve">Stable power source with voltage regulator</w:t>
            </w:r>
          </w:p>
        </w:tc>
        <w:tc>
          <w:tcPr/>
          <w:p>
            <w:pPr>
              <w:pStyle w:val="Compact"/>
              <w:jc w:val="left"/>
            </w:pPr>
            <w:r>
              <w:t xml:space="preserve">1</w:t>
            </w:r>
          </w:p>
        </w:tc>
      </w:tr>
    </w:tbl>
    <w:p>
      <w:pPr>
        <w:pStyle w:val="BodyText"/>
      </w:pPr>
      <w:r>
        <w:t xml:space="preserve">All equipment must be inspected and calibrated before use to ensure accuracy and safety.</w:t>
      </w:r>
    </w:p>
    <w:bookmarkEnd w:id="23"/>
    <w:bookmarkStart w:id="24" w:name="safety-procedures"/>
    <w:p>
      <w:pPr>
        <w:pStyle w:val="Heading2"/>
      </w:pPr>
      <w:r>
        <w:t xml:space="preserve">4. Safety Procedures</w:t>
      </w:r>
    </w:p>
    <w:p>
      <w:pPr>
        <w:pStyle w:val="FirstParagraph"/>
      </w:pPr>
      <w:r>
        <w:t xml:space="preserve">Safety is a critical aspect of this experiment. The following procedures must be strictly followed:</w:t>
      </w:r>
    </w:p>
    <w:p>
      <w:pPr>
        <w:numPr>
          <w:ilvl w:val="0"/>
          <w:numId w:val="1002"/>
        </w:numPr>
        <w:pStyle w:val="Compact"/>
      </w:pPr>
      <w:r>
        <w:t xml:space="preserve">The Welder must wear appropriate protective gear at all times.</w:t>
      </w:r>
    </w:p>
    <w:p>
      <w:pPr>
        <w:numPr>
          <w:ilvl w:val="0"/>
          <w:numId w:val="1002"/>
        </w:numPr>
        <w:pStyle w:val="Compact"/>
      </w:pPr>
      <w:r>
        <w:t xml:space="preserve">The welding area must be well-ventilated to prevent inhalation of fumes.</w:t>
      </w:r>
    </w:p>
    <w:p>
      <w:pPr>
        <w:numPr>
          <w:ilvl w:val="0"/>
          <w:numId w:val="1002"/>
        </w:numPr>
        <w:pStyle w:val="Compact"/>
      </w:pPr>
      <w:r>
        <w:t xml:space="preserve">Fire extinguishers must be readily available in the vicinity.</w:t>
      </w:r>
    </w:p>
    <w:p>
      <w:pPr>
        <w:numPr>
          <w:ilvl w:val="0"/>
          <w:numId w:val="1002"/>
        </w:numPr>
        <w:pStyle w:val="Compact"/>
      </w:pPr>
      <w:r>
        <w:t xml:space="preserve">Only trained personnel are allowed to operate the Welder.</w:t>
      </w:r>
    </w:p>
    <w:p>
      <w:pPr>
        <w:numPr>
          <w:ilvl w:val="0"/>
          <w:numId w:val="1002"/>
        </w:numPr>
        <w:pStyle w:val="Compact"/>
      </w:pPr>
      <w:r>
        <w:t xml:space="preserve">Emergency contact numbers must be posted in the work area.</w:t>
      </w:r>
    </w:p>
    <w:p>
      <w:pPr>
        <w:pStyle w:val="FirstParagraph"/>
      </w:pPr>
      <w:r>
        <w:rPr>
          <w:bCs/>
          <w:b/>
        </w:rPr>
        <w:t xml:space="preserve">Note:</w:t>
      </w:r>
      <w:r>
        <w:t xml:space="preserve"> </w:t>
      </w:r>
      <w:r>
        <w:t xml:space="preserve">In Nairobi, ensure compliance with local fire safety regulations and obtain necessary permits if required.</w:t>
      </w:r>
    </w:p>
    <w:bookmarkEnd w:id="24"/>
    <w:bookmarkStart w:id="28" w:name="experimental-procedure"/>
    <w:p>
      <w:pPr>
        <w:pStyle w:val="Heading2"/>
      </w:pPr>
      <w:r>
        <w:t xml:space="preserve">5. Experimental Procedure</w:t>
      </w:r>
    </w:p>
    <w:bookmarkStart w:id="25" w:name="preparation"/>
    <w:p>
      <w:pPr>
        <w:pStyle w:val="Heading3"/>
      </w:pPr>
      <w:r>
        <w:t xml:space="preserve">5.1 Preparation</w:t>
      </w:r>
    </w:p>
    <w:p>
      <w:pPr>
        <w:numPr>
          <w:ilvl w:val="0"/>
          <w:numId w:val="1003"/>
        </w:numPr>
        <w:pStyle w:val="Compact"/>
      </w:pPr>
      <w:r>
        <w:t xml:space="preserve">Inspect the Welder and all equipment for damage or malfunction.</w:t>
      </w:r>
    </w:p>
    <w:p>
      <w:pPr>
        <w:numPr>
          <w:ilvl w:val="0"/>
          <w:numId w:val="1003"/>
        </w:numPr>
        <w:pStyle w:val="Compact"/>
      </w:pPr>
      <w:r>
        <w:t xml:space="preserve">Set up the welding area according to safety guidelines.</w:t>
      </w:r>
    </w:p>
    <w:p>
      <w:pPr>
        <w:numPr>
          <w:ilvl w:val="0"/>
          <w:numId w:val="1003"/>
        </w:numPr>
        <w:pStyle w:val="Compact"/>
      </w:pPr>
      <w:r>
        <w:t xml:space="preserve">Prepare the materials to be welded, ensuring they are clean and free of contaminants.</w:t>
      </w:r>
    </w:p>
    <w:bookmarkEnd w:id="25"/>
    <w:bookmarkStart w:id="26" w:name="execution"/>
    <w:p>
      <w:pPr>
        <w:pStyle w:val="Heading3"/>
      </w:pPr>
      <w:r>
        <w:t xml:space="preserve">5.2 Execution</w:t>
      </w:r>
    </w:p>
    <w:p>
      <w:pPr>
        <w:numPr>
          <w:ilvl w:val="0"/>
          <w:numId w:val="1004"/>
        </w:numPr>
        <w:pStyle w:val="Compact"/>
      </w:pPr>
      <w:r>
        <w:t xml:space="preserve">The Welder will perform welding operations using the specified techniques and parameters.</w:t>
      </w:r>
    </w:p>
    <w:p>
      <w:pPr>
        <w:numPr>
          <w:ilvl w:val="0"/>
          <w:numId w:val="1004"/>
        </w:numPr>
        <w:pStyle w:val="Compact"/>
      </w:pPr>
      <w:r>
        <w:t xml:space="preserve">Record all settings, including voltage, amperage, and travel speed.</w:t>
      </w:r>
    </w:p>
    <w:p>
      <w:pPr>
        <w:numPr>
          <w:ilvl w:val="0"/>
          <w:numId w:val="1004"/>
        </w:numPr>
        <w:pStyle w:val="Compact"/>
      </w:pPr>
      <w:r>
        <w:t xml:space="preserve">Take photographs of the welds for documentation.</w:t>
      </w:r>
    </w:p>
    <w:bookmarkEnd w:id="26"/>
    <w:bookmarkStart w:id="27" w:name="data-collection"/>
    <w:p>
      <w:pPr>
        <w:pStyle w:val="Heading3"/>
      </w:pPr>
      <w:r>
        <w:t xml:space="preserve">5.3 Data Collection</w:t>
      </w:r>
    </w:p>
    <w:p>
      <w:pPr>
        <w:numPr>
          <w:ilvl w:val="0"/>
          <w:numId w:val="1005"/>
        </w:numPr>
        <w:pStyle w:val="Compact"/>
      </w:pPr>
      <w:r>
        <w:t xml:space="preserve">Measure the dimensions and quality of the welds using calibrated tools.</w:t>
      </w:r>
    </w:p>
    <w:p>
      <w:pPr>
        <w:numPr>
          <w:ilvl w:val="0"/>
          <w:numId w:val="1005"/>
        </w:numPr>
        <w:pStyle w:val="Compact"/>
      </w:pPr>
      <w:r>
        <w:t xml:space="preserve">Record environmental conditions, such as temperature and humidity.</w:t>
      </w:r>
    </w:p>
    <w:p>
      <w:pPr>
        <w:numPr>
          <w:ilvl w:val="0"/>
          <w:numId w:val="1005"/>
        </w:numPr>
        <w:pStyle w:val="Compact"/>
      </w:pPr>
      <w:r>
        <w:t xml:space="preserve">Note any anomalies or issues encountered during the experiment.</w:t>
      </w:r>
    </w:p>
    <w:bookmarkEnd w:id="27"/>
    <w:bookmarkEnd w:id="28"/>
    <w:bookmarkStart w:id="29" w:name="data-analysis"/>
    <w:p>
      <w:pPr>
        <w:pStyle w:val="Heading2"/>
      </w:pPr>
      <w:r>
        <w:t xml:space="preserve">6. Data Analysis</w:t>
      </w:r>
    </w:p>
    <w:p>
      <w:pPr>
        <w:pStyle w:val="FirstParagraph"/>
      </w:pPr>
      <w:r>
        <w:t xml:space="preserve">After completing the welding operations, the collected data will be analyzed to assess the quality and consistency of the welds. Statistical methods will be used to identify trends and variations. The analysis will consider factors such as:</w:t>
      </w:r>
    </w:p>
    <w:p>
      <w:pPr>
        <w:numPr>
          <w:ilvl w:val="0"/>
          <w:numId w:val="1006"/>
        </w:numPr>
        <w:pStyle w:val="Compact"/>
      </w:pPr>
      <w:r>
        <w:t xml:space="preserve">Weld strength and integrity.</w:t>
      </w:r>
    </w:p>
    <w:p>
      <w:pPr>
        <w:numPr>
          <w:ilvl w:val="0"/>
          <w:numId w:val="1006"/>
        </w:numPr>
        <w:pStyle w:val="Compact"/>
      </w:pPr>
      <w:r>
        <w:t xml:space="preserve">Impact of environmental conditions on weld quality.</w:t>
      </w:r>
    </w:p>
    <w:p>
      <w:pPr>
        <w:numPr>
          <w:ilvl w:val="0"/>
          <w:numId w:val="1006"/>
        </w:numPr>
        <w:pStyle w:val="Compact"/>
      </w:pPr>
      <w:r>
        <w:t xml:space="preserve">Effectiveness of different welding techniques.</w:t>
      </w:r>
    </w:p>
    <w:p>
      <w:pPr>
        <w:pStyle w:val="FirstParagraph"/>
      </w:pPr>
      <w:r>
        <w:t xml:space="preserve">The results will be compared against industry standards to determine compliance and areas for improvement.</w:t>
      </w:r>
    </w:p>
    <w:bookmarkEnd w:id="29"/>
    <w:bookmarkStart w:id="30" w:name="reporting"/>
    <w:p>
      <w:pPr>
        <w:pStyle w:val="Heading2"/>
      </w:pPr>
      <w:r>
        <w:t xml:space="preserve">7. Reporting</w:t>
      </w:r>
    </w:p>
    <w:p>
      <w:pPr>
        <w:pStyle w:val="FirstParagraph"/>
      </w:pPr>
      <w:r>
        <w:t xml:space="preserve">A comprehensive report will be prepared summarizing the experiment's objectives, procedures, results, and conclusions. The report will include:</w:t>
      </w:r>
    </w:p>
    <w:p>
      <w:pPr>
        <w:numPr>
          <w:ilvl w:val="0"/>
          <w:numId w:val="1007"/>
        </w:numPr>
        <w:pStyle w:val="Compact"/>
      </w:pPr>
      <w:r>
        <w:t xml:space="preserve">Detailed descriptions of the welding operations.</w:t>
      </w:r>
    </w:p>
    <w:p>
      <w:pPr>
        <w:numPr>
          <w:ilvl w:val="0"/>
          <w:numId w:val="1007"/>
        </w:numPr>
        <w:pStyle w:val="Compact"/>
      </w:pPr>
      <w:r>
        <w:t xml:space="preserve">Photographs and measurements of the welds.</w:t>
      </w:r>
    </w:p>
    <w:p>
      <w:pPr>
        <w:numPr>
          <w:ilvl w:val="0"/>
          <w:numId w:val="1007"/>
        </w:numPr>
        <w:pStyle w:val="Compact"/>
      </w:pPr>
      <w:r>
        <w:t xml:space="preserve">Analysis of the data and its implications.</w:t>
      </w:r>
    </w:p>
    <w:p>
      <w:pPr>
        <w:numPr>
          <w:ilvl w:val="0"/>
          <w:numId w:val="1007"/>
        </w:numPr>
        <w:pStyle w:val="Compact"/>
      </w:pPr>
      <w:r>
        <w:t xml:space="preserve">Recommendations for future experiments and improvements.</w:t>
      </w:r>
    </w:p>
    <w:p>
      <w:pPr>
        <w:pStyle w:val="FirstParagraph"/>
      </w:pPr>
      <w:r>
        <w:t xml:space="preserve">The report will be submitted to the relevant stakeholders in Nairobi, Kenya, for review and feedback.</w:t>
      </w:r>
    </w:p>
    <w:bookmarkEnd w:id="30"/>
    <w:bookmarkStart w:id="31" w:name="conclusion"/>
    <w:p>
      <w:pPr>
        <w:pStyle w:val="Heading2"/>
      </w:pPr>
      <w:r>
        <w:t xml:space="preserve">8. Conclusion</w:t>
      </w:r>
    </w:p>
    <w:p>
      <w:pPr>
        <w:pStyle w:val="FirstParagraph"/>
      </w:pPr>
      <w:r>
        <w:t xml:space="preserve">This Experiment Protocol provides a structured approach for conducting welding experiments in Nairobi, Kenya. By following these procedures, the Welder and research team can ensure the safety, accuracy, and reliability of the results. The findings will contribute to enhancing welding practices and safety standards in the region.</w:t>
      </w:r>
    </w:p>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4">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5">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6">
    <w:abstractNumId w:val="991"/>
  </w:num>
  <w:num w:numId="1007">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Experiment Protocol: Welding Operations in Kenya Nairobi</dc:title>
  <dc:creator/>
  <dc:language>en</dc:language>
  <cp:keywords/>
  <dcterms:created xsi:type="dcterms:W3CDTF">2026-10-10T03:34:36Z</dcterms:created>
  <dcterms:modified xsi:type="dcterms:W3CDTF">2026-10-10T03:34:36Z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