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bf3264e5da23007033efef013f8b4f3a70dd1d3"/>
    <w:p>
      <w:pPr>
        <w:pStyle w:val="Heading1"/>
      </w:pPr>
      <w:r>
        <w:t xml:space="preserve">Experiment Protocol: Welder Performance Assessment in Malaysia Kuala Lumpur</w:t>
      </w:r>
    </w:p>
    <w:p>
      <w:pPr>
        <w:pStyle w:val="FirstParagraph"/>
      </w:pPr>
      <w:r>
        <w:rPr>
          <w:bCs/>
          <w:b/>
        </w:rPr>
        <w:t xml:space="preserve">Document ID:</w:t>
      </w:r>
      <w:r>
        <w:t xml:space="preserve"> </w:t>
      </w:r>
      <w:r>
        <w:t xml:space="preserve">EP-WLD-KL-2024-001</w:t>
      </w:r>
      <w:r>
        <w:br/>
      </w:r>
      <w:r>
        <w:rPr>
          <w:bCs/>
          <w:b/>
        </w:rPr>
        <w:t xml:space="preserve">Location:</w:t>
      </w:r>
      <w:r>
        <w:t xml:space="preserve"> </w:t>
      </w:r>
      <w:r>
        <w:t xml:space="preserve">Kuala Lumpur, Malaysia</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performance, safety, and efficiency of welding operations conducted by certified welders in the industrial zones of Kuala Lumpur, Malaysia. The primary objective is to evaluate the quality of welds produced under varying environmental conditions typical of Kuala Lumpur, including high humidity and temperature fluctuations. This protocol ensures compliance with local standards set by the Department of Occupational Safety and Health (DOSH) Malaysia and international welding standards such as AWS D1.1.</w:t>
      </w:r>
    </w:p>
    <w:bookmarkEnd w:id="20"/>
    <w:bookmarkStart w:id="21"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Assessment of weld quality using non-destructive testing (NDT) methods.</w:t>
      </w:r>
    </w:p>
    <w:p>
      <w:pPr>
        <w:numPr>
          <w:ilvl w:val="0"/>
          <w:numId w:val="1001"/>
        </w:numPr>
        <w:pStyle w:val="Compact"/>
      </w:pPr>
      <w:r>
        <w:t xml:space="preserve">Evaluation of welder performance in terms of speed, accuracy, and adherence to safety protocols.</w:t>
      </w:r>
    </w:p>
    <w:p>
      <w:pPr>
        <w:numPr>
          <w:ilvl w:val="0"/>
          <w:numId w:val="1001"/>
        </w:numPr>
        <w:pStyle w:val="Compact"/>
      </w:pPr>
      <w:r>
        <w:t xml:space="preserve">Analysis of the impact of Kuala Lumpur's environmental conditions on welding processes.</w:t>
      </w:r>
    </w:p>
    <w:p>
      <w:pPr>
        <w:numPr>
          <w:ilvl w:val="0"/>
          <w:numId w:val="1001"/>
        </w:numPr>
        <w:pStyle w:val="Compact"/>
      </w:pPr>
      <w:r>
        <w:t xml:space="preserve">Verification of compliance with Malaysian welding standards and regulations.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MIG/TIG welding machine, calibrated and certified</w:t>
            </w:r>
          </w:p>
        </w:tc>
        <w:tc>
          <w:tcPr/>
          <w:p>
            <w:pPr>
              <w:pStyle w:val="Compact"/>
              <w:jc w:val="left"/>
            </w:pPr>
            <w:r>
              <w:t xml:space="preserve">2</w:t>
            </w:r>
          </w:p>
        </w:tc>
      </w:tr>
      <w:tr>
        <w:tc>
          <w:tcPr/>
          <w:p>
            <w:pPr>
              <w:pStyle w:val="Compact"/>
              <w:jc w:val="left"/>
            </w:pPr>
            <w:r>
              <w:t xml:space="preserve">Base Metal</w:t>
            </w:r>
          </w:p>
        </w:tc>
        <w:tc>
          <w:tcPr/>
          <w:p>
            <w:pPr>
              <w:pStyle w:val="Compact"/>
              <w:jc w:val="left"/>
            </w:pPr>
            <w:r>
              <w:t xml:space="preserve">Mild steel plates, 10mm thickness, conforming to MS 1025</w:t>
            </w:r>
          </w:p>
        </w:tc>
        <w:tc>
          <w:tcPr/>
          <w:p>
            <w:pPr>
              <w:pStyle w:val="Compact"/>
              <w:jc w:val="left"/>
            </w:pPr>
            <w:r>
              <w:t xml:space="preserve">20</w:t>
            </w:r>
          </w:p>
        </w:tc>
      </w:tr>
      <w:tr>
        <w:tc>
          <w:tcPr/>
          <w:p>
            <w:pPr>
              <w:pStyle w:val="Compact"/>
              <w:jc w:val="left"/>
            </w:pPr>
            <w:r>
              <w:t xml:space="preserve">Filler Material</w:t>
            </w:r>
          </w:p>
        </w:tc>
        <w:tc>
          <w:tcPr/>
          <w:p>
            <w:pPr>
              <w:pStyle w:val="Compact"/>
              <w:jc w:val="left"/>
            </w:pPr>
            <w:r>
              <w:t xml:space="preserve">ER70S-6 welding wire, 1.2mm diameter</w:t>
            </w:r>
          </w:p>
        </w:tc>
        <w:tc>
          <w:tcPr/>
          <w:p>
            <w:pPr>
              <w:pStyle w:val="Compact"/>
              <w:jc w:val="left"/>
            </w:pPr>
            <w:r>
              <w:t xml:space="preserve">5 kg</w:t>
            </w:r>
          </w:p>
        </w:tc>
      </w:tr>
      <w:tr>
        <w:tc>
          <w:tcPr/>
          <w:p>
            <w:pPr>
              <w:pStyle w:val="Compact"/>
              <w:jc w:val="left"/>
            </w:pPr>
            <w:r>
              <w:t xml:space="preserve">Personal Protective Equipment (PPE)</w:t>
            </w:r>
          </w:p>
        </w:tc>
        <w:tc>
          <w:tcPr/>
          <w:p>
            <w:pPr>
              <w:pStyle w:val="Compact"/>
              <w:jc w:val="left"/>
            </w:pPr>
            <w:r>
              <w:t xml:space="preserve">Welding helmets, gloves, aprons, and respirators</w:t>
            </w:r>
          </w:p>
        </w:tc>
        <w:tc>
          <w:tcPr/>
          <w:p>
            <w:pPr>
              <w:pStyle w:val="Compact"/>
              <w:jc w:val="left"/>
            </w:pPr>
            <w:r>
              <w:t xml:space="preserve">As needed</w:t>
            </w:r>
          </w:p>
        </w:tc>
      </w:tr>
      <w:tr>
        <w:tc>
          <w:tcPr/>
          <w:p>
            <w:pPr>
              <w:pStyle w:val="Compact"/>
              <w:jc w:val="left"/>
            </w:pPr>
            <w:r>
              <w:t xml:space="preserve">NDT Equipment</w:t>
            </w:r>
          </w:p>
        </w:tc>
        <w:tc>
          <w:tcPr/>
          <w:p>
            <w:pPr>
              <w:pStyle w:val="Compact"/>
              <w:jc w:val="left"/>
            </w:pPr>
            <w:r>
              <w:t xml:space="preserve">Ultrasonic testing device, dye penetrant kit</w:t>
            </w:r>
          </w:p>
        </w:tc>
        <w:tc>
          <w:tcPr/>
          <w:p>
            <w:pPr>
              <w:pStyle w:val="Compact"/>
              <w:jc w:val="left"/>
            </w:pPr>
            <w:r>
              <w:t xml:space="preserve">1 set</w:t>
            </w:r>
          </w:p>
        </w:tc>
      </w:tr>
      <w:tr>
        <w:tc>
          <w:tcPr/>
          <w:p>
            <w:pPr>
              <w:pStyle w:val="Compact"/>
              <w:jc w:val="left"/>
            </w:pPr>
            <w:r>
              <w:t xml:space="preserve">Environmental Monitoring Tools</w:t>
            </w:r>
          </w:p>
        </w:tc>
        <w:tc>
          <w:tcPr/>
          <w:p>
            <w:pPr>
              <w:pStyle w:val="Compact"/>
              <w:jc w:val="left"/>
            </w:pPr>
            <w:r>
              <w:t xml:space="preserve">Thermometer, hygrometer</w:t>
            </w:r>
          </w:p>
        </w:tc>
        <w:tc>
          <w:tcPr/>
          <w:p>
            <w:pPr>
              <w:pStyle w:val="Compact"/>
              <w:jc w:val="left"/>
            </w:pPr>
            <w:r>
              <w:t xml:space="preserve">2</w:t>
            </w:r>
          </w:p>
        </w:tc>
      </w:tr>
    </w:tbl>
    <w:bookmarkEnd w:id="22"/>
    <w:bookmarkStart w:id="26" w:name="experimental-procedure"/>
    <w:p>
      <w:pPr>
        <w:pStyle w:val="Heading2"/>
      </w:pPr>
      <w:r>
        <w:t xml:space="preserve">4. Experimental Procedure</w:t>
      </w:r>
    </w:p>
    <w:bookmarkStart w:id="23" w:name="preparation"/>
    <w:p>
      <w:pPr>
        <w:pStyle w:val="Heading3"/>
      </w:pPr>
      <w:r>
        <w:t xml:space="preserve">4.1 Preparation</w:t>
      </w:r>
    </w:p>
    <w:p>
      <w:pPr>
        <w:pStyle w:val="FirstParagraph"/>
      </w:pPr>
      <w:r>
        <w:t xml:space="preserve">Before commencing the experiment, ensure that all equipment is calibrated and in good working condition. The welding area must be well-ventilated to mitigate the risks associated with fumes, which is particularly important in Kuala Lumpur's tropical climate. Clean the base metal surfaces to remove any oil, grease, or rust using a wire brush or solvent.</w:t>
      </w:r>
    </w:p>
    <w:bookmarkEnd w:id="23"/>
    <w:bookmarkStart w:id="24" w:name="welding-process"/>
    <w:p>
      <w:pPr>
        <w:pStyle w:val="Heading3"/>
      </w:pPr>
      <w:r>
        <w:t xml:space="preserve">4.2 Welding Process</w:t>
      </w:r>
    </w:p>
    <w:p>
      <w:pPr>
        <w:pStyle w:val="FirstParagraph"/>
      </w:pPr>
      <w:r>
        <w:t xml:space="preserve">The welder will perform butt welds on the mild steel plates using the MIG welding process. The following parameters will be maintained:</w:t>
      </w:r>
    </w:p>
    <w:p>
      <w:pPr>
        <w:numPr>
          <w:ilvl w:val="0"/>
          <w:numId w:val="1002"/>
        </w:numPr>
        <w:pStyle w:val="Compact"/>
      </w:pPr>
      <w:r>
        <w:t xml:space="preserve">Voltage: 22-24V</w:t>
      </w:r>
    </w:p>
    <w:p>
      <w:pPr>
        <w:numPr>
          <w:ilvl w:val="0"/>
          <w:numId w:val="1002"/>
        </w:numPr>
        <w:pStyle w:val="Compact"/>
      </w:pPr>
      <w:r>
        <w:t xml:space="preserve">Wire Feed Speed: 5-6 m/min</w:t>
      </w:r>
    </w:p>
    <w:p>
      <w:pPr>
        <w:numPr>
          <w:ilvl w:val="0"/>
          <w:numId w:val="1002"/>
        </w:numPr>
        <w:pStyle w:val="Compact"/>
      </w:pPr>
      <w:r>
        <w:t xml:space="preserve">Shielding Gas: 75% Argon, 25% CO2</w:t>
      </w:r>
    </w:p>
    <w:p>
      <w:pPr>
        <w:pStyle w:val="FirstParagraph"/>
      </w:pPr>
      <w:r>
        <w:t xml:space="preserve">Each welder will complete five welds under controlled conditions and five welds under simulated outdoor conditions to assess the impact of environmental factors.</w:t>
      </w:r>
    </w:p>
    <w:bookmarkEnd w:id="24"/>
    <w:bookmarkStart w:id="25" w:name="data-collection"/>
    <w:p>
      <w:pPr>
        <w:pStyle w:val="Heading3"/>
      </w:pPr>
      <w:r>
        <w:t xml:space="preserve">4.3 Data Collection</w:t>
      </w:r>
    </w:p>
    <w:p>
      <w:pPr>
        <w:pStyle w:val="FirstParagraph"/>
      </w:pPr>
      <w:r>
        <w:t xml:space="preserve">During the welding process, record the following data:</w:t>
      </w:r>
    </w:p>
    <w:p>
      <w:pPr>
        <w:numPr>
          <w:ilvl w:val="0"/>
          <w:numId w:val="1003"/>
        </w:numPr>
        <w:pStyle w:val="Compact"/>
      </w:pPr>
      <w:r>
        <w:t xml:space="preserve">Welding time for each joint</w:t>
      </w:r>
    </w:p>
    <w:p>
      <w:pPr>
        <w:numPr>
          <w:ilvl w:val="0"/>
          <w:numId w:val="1003"/>
        </w:numPr>
        <w:pStyle w:val="Compact"/>
      </w:pPr>
      <w:r>
        <w:t xml:space="preserve">Environmental conditions (temperature, humidity)</w:t>
      </w:r>
    </w:p>
    <w:p>
      <w:pPr>
        <w:numPr>
          <w:ilvl w:val="0"/>
          <w:numId w:val="1003"/>
        </w:numPr>
        <w:pStyle w:val="Compact"/>
      </w:pPr>
      <w:r>
        <w:t xml:space="preserve">Any deviations from standard procedures</w:t>
      </w:r>
    </w:p>
    <w:bookmarkEnd w:id="25"/>
    <w:bookmarkEnd w:id="26"/>
    <w:bookmarkStart w:id="27" w:name="quality-assessment"/>
    <w:p>
      <w:pPr>
        <w:pStyle w:val="Heading2"/>
      </w:pPr>
      <w:r>
        <w:t xml:space="preserve">5. Quality Assessment</w:t>
      </w:r>
    </w:p>
    <w:p>
      <w:pPr>
        <w:pStyle w:val="FirstParagraph"/>
      </w:pPr>
      <w:r>
        <w:t xml:space="preserve">After completing the welds, conduct non-destructive testing to evaluate the quality of each weld. Use ultrasonic testing to detect internal defects and dye penetrant testing to identify surface cracks. Compare the results against the acceptance criteria outlined in MS 1025 and AWS D1.1.</w:t>
      </w:r>
    </w:p>
    <w:bookmarkEnd w:id="27"/>
    <w:bookmarkStart w:id="28" w:name="safety-considerations"/>
    <w:p>
      <w:pPr>
        <w:pStyle w:val="Heading2"/>
      </w:pPr>
      <w:r>
        <w:t xml:space="preserve">6. Safety Considerations</w:t>
      </w:r>
    </w:p>
    <w:p>
      <w:pPr>
        <w:pStyle w:val="FirstParagraph"/>
      </w:pPr>
      <w:r>
        <w:t xml:space="preserve">Safety is paramount in this experiment. Ensure that all welders are trained and certified according to Malaysian standards. Provide adequate PPE and ensure that the welding area is free from flammable materials. In case of an emergency, follow the evacuation procedures established by the facility in Kuala Lumpur.</w:t>
      </w:r>
    </w:p>
    <w:bookmarkEnd w:id="28"/>
    <w:bookmarkStart w:id="29" w:name="conclusion"/>
    <w:p>
      <w:pPr>
        <w:pStyle w:val="Heading2"/>
      </w:pPr>
      <w:r>
        <w:t xml:space="preserve">7. Conclusion</w:t>
      </w:r>
    </w:p>
    <w:p>
      <w:pPr>
        <w:pStyle w:val="FirstParagraph"/>
      </w:pPr>
      <w:r>
        <w:t xml:space="preserve">This Experiment Protocol provides a structured approach to assessing welder performance in Kuala Lumpur, Malaysia. By adhering to this protocol, we can ensure that welding operations meet the highest standards of quality and safety, contributing to the overall integrity of industrial projects in the region.</w:t>
      </w:r>
    </w:p>
    <w:p>
      <w:pPr>
        <w:pStyle w:val="BodyText"/>
      </w:pPr>
      <w:r>
        <w:t xml:space="preserve">© 2023 Welding Research Institute, Kuala Lumpur, Malaysia.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Malaysia Kuala Lumpur</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