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8"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Myanmar Yangon Industrial Zone</w:t>
      </w:r>
    </w:p>
    <w:p>
      <w:pPr>
        <w:pStyle w:val="BodyText"/>
      </w:pPr>
      <w:r>
        <w:rPr>
          <w:bCs/>
          <w:b/>
        </w:rPr>
        <w:t xml:space="preserve">Subject:</w:t>
      </w:r>
      <w:r>
        <w:t xml:space="preserve"> </w:t>
      </w:r>
      <w:r>
        <w:t xml:space="preserve">Welder (SMAW/MIG/MAG Process)</w:t>
      </w:r>
    </w:p>
    <w:p>
      <w:pPr>
        <w:pStyle w:val="BodyText"/>
      </w:pPr>
      <w:r>
        <w:rPr>
          <w:bCs/>
          <w:b/>
        </w:rPr>
        <w:t xml:space="preserve">Document 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evaluate the operational efficiency, safety compliance, and weld quality of a designated Welder operating under the specific environmental and infrastructural conditions found in Myanmar Yangon. This protocol aims to establish a standardized procedure for testing welding capabilities, ensuring that the output meets international standards while accounting for local variables such as humidity, power supply stability, and ambient temperature.</w:t>
      </w:r>
    </w:p>
    <w:bookmarkEnd w:id="20"/>
    <w:bookmarkStart w:id="21" w:name="scope-and-context"/>
    <w:p>
      <w:pPr>
        <w:pStyle w:val="Heading2"/>
      </w:pPr>
      <w:r>
        <w:t xml:space="preserve">2. Scope and Context</w:t>
      </w:r>
    </w:p>
    <w:p>
      <w:pPr>
        <w:pStyle w:val="FirstParagraph"/>
      </w:pPr>
      <w:r>
        <w:t xml:space="preserve">This protocol applies specifically to welding operations conducted within the Yangon region. The unique climate of Myanmar Yangon, characterized by high humidity and tropical temperatures, significantly impacts welding processes, particularly regarding electrode storage and metal oxidation. Furthermore, the local electrical grid conditions in Yangon may present voltage fluctuations that affect the performance of the Welder and associated equipment. This document outlines the necessary controls to mitigate these environmental factors.</w:t>
      </w:r>
    </w:p>
    <w:bookmarkEnd w:id="21"/>
    <w:bookmarkStart w:id="22" w:name="equipment-and-materials"/>
    <w:p>
      <w:pPr>
        <w:pStyle w:val="Heading2"/>
      </w:pPr>
      <w:r>
        <w:t xml:space="preserve">3. Equipment and Materials</w:t>
      </w:r>
    </w:p>
    <w:p>
      <w:pPr>
        <w:pStyle w:val="FirstParagraph"/>
      </w:pPr>
      <w:r>
        <w:t xml:space="preserve">The following equipment must be prepared and inspected prior to the commencement of the experiment:</w:t>
      </w:r>
    </w:p>
    <w:p>
      <w:pPr>
        <w:numPr>
          <w:ilvl w:val="0"/>
          <w:numId w:val="1001"/>
        </w:numPr>
        <w:pStyle w:val="Compact"/>
      </w:pPr>
      <w:r>
        <w:rPr>
          <w:bCs/>
          <w:b/>
        </w:rPr>
        <w:t xml:space="preserve">Welding Machine:</w:t>
      </w:r>
      <w:r>
        <w:t xml:space="preserve"> </w:t>
      </w:r>
      <w:r>
        <w:t xml:space="preserve">Inverter-based or transformer-based unit suitable for the specific process (SMAW, MIG, or TIG).</w:t>
      </w:r>
    </w:p>
    <w:p>
      <w:pPr>
        <w:numPr>
          <w:ilvl w:val="0"/>
          <w:numId w:val="1001"/>
        </w:numPr>
        <w:pStyle w:val="Compact"/>
      </w:pPr>
      <w:r>
        <w:rPr>
          <w:bCs/>
          <w:b/>
        </w:rPr>
        <w:t xml:space="preserve">Power Supply Stabilizer:</w:t>
      </w:r>
      <w:r>
        <w:t xml:space="preserve"> </w:t>
      </w:r>
      <w:r>
        <w:t xml:space="preserve">Essential for mitigating voltage fluctuations common in Myanmar Yangon.</w:t>
      </w:r>
    </w:p>
    <w:p>
      <w:pPr>
        <w:numPr>
          <w:ilvl w:val="0"/>
          <w:numId w:val="1001"/>
        </w:numPr>
        <w:pStyle w:val="Compact"/>
      </w:pPr>
      <w:r>
        <w:rPr>
          <w:bCs/>
          <w:b/>
        </w:rPr>
        <w:t xml:space="preserve">Personal Protective Equipment (PPE):</w:t>
      </w:r>
      <w:r>
        <w:t xml:space="preserve"> </w:t>
      </w:r>
      <w:r>
        <w:t xml:space="preserve">Welding helmet with appropriate shade, fire-resistant gloves, apron, and safety boots.</w:t>
      </w:r>
    </w:p>
    <w:p>
      <w:pPr>
        <w:numPr>
          <w:ilvl w:val="0"/>
          <w:numId w:val="1001"/>
        </w:numPr>
        <w:pStyle w:val="Compact"/>
      </w:pPr>
      <w:r>
        <w:rPr>
          <w:bCs/>
          <w:b/>
        </w:rPr>
        <w:t xml:space="preserve">Base Materials:</w:t>
      </w:r>
      <w:r>
        <w:t xml:space="preserve"> </w:t>
      </w:r>
      <w:r>
        <w:t xml:space="preserve">Mild steel plates (Grade A36 equivalent), cleaned and free of rust.</w:t>
      </w:r>
    </w:p>
    <w:p>
      <w:pPr>
        <w:numPr>
          <w:ilvl w:val="0"/>
          <w:numId w:val="1001"/>
        </w:numPr>
        <w:pStyle w:val="Compact"/>
      </w:pPr>
      <w:r>
        <w:rPr>
          <w:bCs/>
          <w:b/>
        </w:rPr>
        <w:t xml:space="preserve">Consumables:</w:t>
      </w:r>
      <w:r>
        <w:t xml:space="preserve"> </w:t>
      </w:r>
      <w:r>
        <w:t xml:space="preserve">Electrodes or wire suitable for the base material, stored in a dry environment to prevent moisture absorption.</w:t>
      </w:r>
    </w:p>
    <w:p>
      <w:pPr>
        <w:numPr>
          <w:ilvl w:val="0"/>
          <w:numId w:val="1001"/>
        </w:numPr>
        <w:pStyle w:val="Compact"/>
      </w:pPr>
      <w:r>
        <w:rPr>
          <w:bCs/>
          <w:b/>
        </w:rPr>
        <w:t xml:space="preserve">Measuring Tools:</w:t>
      </w:r>
      <w:r>
        <w:t xml:space="preserve"> </w:t>
      </w:r>
      <w:r>
        <w:t xml:space="preserve">Calipers, fillet weld gauges, and a multimeter.</w:t>
      </w:r>
    </w:p>
    <w:bookmarkEnd w:id="22"/>
    <w:bookmarkStart w:id="23" w:name="environmental-controls"/>
    <w:p>
      <w:pPr>
        <w:pStyle w:val="Heading2"/>
      </w:pPr>
      <w:r>
        <w:t xml:space="preserve">4. Environmental Controls</w:t>
      </w:r>
    </w:p>
    <w:p>
      <w:pPr>
        <w:pStyle w:val="FirstParagraph"/>
      </w:pPr>
      <w:r>
        <w:t xml:space="preserve">Given the location in Myanmar Yangon, strict environmental controls are required:</w:t>
      </w:r>
    </w:p>
    <w:p>
      <w:pPr>
        <w:numPr>
          <w:ilvl w:val="0"/>
          <w:numId w:val="1002"/>
        </w:numPr>
        <w:pStyle w:val="Compact"/>
      </w:pPr>
      <w:r>
        <w:rPr>
          <w:bCs/>
          <w:b/>
        </w:rPr>
        <w:t xml:space="preserve">Humidity Management:</w:t>
      </w:r>
      <w:r>
        <w:t xml:space="preserve"> </w:t>
      </w:r>
      <w:r>
        <w:t xml:space="preserve">Electrodes must be stored in a heated cabinet to maintain low moisture content. High humidity can lead to porosity in the weld.</w:t>
      </w:r>
    </w:p>
    <w:p>
      <w:pPr>
        <w:numPr>
          <w:ilvl w:val="0"/>
          <w:numId w:val="1002"/>
        </w:numPr>
        <w:pStyle w:val="Compact"/>
      </w:pPr>
      <w:r>
        <w:rPr>
          <w:bCs/>
          <w:b/>
        </w:rPr>
        <w:t xml:space="preserve">Ventilation:</w:t>
      </w:r>
      <w:r>
        <w:t xml:space="preserve"> </w:t>
      </w:r>
      <w:r>
        <w:t xml:space="preserve">Adequate ventilation must be provided to remove welding fumes, which can be hazardous in enclosed spaces.</w:t>
      </w:r>
    </w:p>
    <w:p>
      <w:pPr>
        <w:numPr>
          <w:ilvl w:val="0"/>
          <w:numId w:val="1002"/>
        </w:numPr>
        <w:pStyle w:val="Compact"/>
      </w:pPr>
      <w:r>
        <w:rPr>
          <w:bCs/>
          <w:b/>
        </w:rPr>
        <w:t xml:space="preserve">Power Stability:</w:t>
      </w:r>
      <w:r>
        <w:t xml:space="preserve"> </w:t>
      </w:r>
      <w:r>
        <w:t xml:space="preserve">The Welder must be connected through a voltage stabilizer to ensure consistent amperage and voltage output.</w:t>
      </w:r>
    </w:p>
    <w:bookmarkEnd w:id="23"/>
    <w:bookmarkStart w:id="24" w:name="procedure"/>
    <w:p>
      <w:pPr>
        <w:pStyle w:val="Heading2"/>
      </w:pPr>
      <w:r>
        <w:t xml:space="preserve">5. Procedure</w:t>
      </w:r>
    </w:p>
    <w:p>
      <w:pPr>
        <w:pStyle w:val="FirstParagraph"/>
      </w:pPr>
      <w:r>
        <w:t xml:space="preserve">The experiment will follow these steps:</w:t>
      </w:r>
    </w:p>
    <w:p>
      <w:pPr>
        <w:numPr>
          <w:ilvl w:val="0"/>
          <w:numId w:val="1003"/>
        </w:numPr>
        <w:pStyle w:val="Compact"/>
      </w:pPr>
      <w:r>
        <w:rPr>
          <w:bCs/>
          <w:b/>
        </w:rPr>
        <w:t xml:space="preserve">Preparation:</w:t>
      </w:r>
      <w:r>
        <w:t xml:space="preserve"> </w:t>
      </w:r>
      <w:r>
        <w:t xml:space="preserve">Clean the base materials thoroughly to remove any oil, grease, or rust. Ensure the Welder is properly grounded.</w:t>
      </w:r>
    </w:p>
    <w:p>
      <w:pPr>
        <w:numPr>
          <w:ilvl w:val="0"/>
          <w:numId w:val="1003"/>
        </w:numPr>
        <w:pStyle w:val="Compact"/>
      </w:pPr>
      <w:r>
        <w:rPr>
          <w:bCs/>
          <w:b/>
        </w:rPr>
        <w:t xml:space="preserve">Parameter Setting:</w:t>
      </w:r>
      <w:r>
        <w:t xml:space="preserve"> </w:t>
      </w:r>
      <w:r>
        <w:t xml:space="preserve">Set the Welder parameters according to the manufacturer's recommendations for the specific material thickness.</w:t>
      </w:r>
    </w:p>
    <w:p>
      <w:pPr>
        <w:numPr>
          <w:ilvl w:val="0"/>
          <w:numId w:val="1003"/>
        </w:numPr>
        <w:pStyle w:val="Compact"/>
      </w:pPr>
      <w:r>
        <w:rPr>
          <w:bCs/>
          <w:b/>
        </w:rPr>
        <w:t xml:space="preserve">Test Welds:</w:t>
      </w:r>
      <w:r>
        <w:t xml:space="preserve"> </w:t>
      </w:r>
      <w:r>
        <w:t xml:space="preserve">Perform test welds on the prepared plates. The Welder must demonstrate consistent bead appearance and penetration.</w:t>
      </w:r>
    </w:p>
    <w:p>
      <w:pPr>
        <w:numPr>
          <w:ilvl w:val="0"/>
          <w:numId w:val="1003"/>
        </w:numPr>
        <w:pStyle w:val="Compact"/>
      </w:pPr>
      <w:r>
        <w:rPr>
          <w:bCs/>
          <w:b/>
        </w:rPr>
        <w:t xml:space="preserve">Monitoring:</w:t>
      </w:r>
      <w:r>
        <w:t xml:space="preserve"> </w:t>
      </w:r>
      <w:r>
        <w:t xml:space="preserve">Continuously monitor the Welder's performance, noting any irregularities in arc stability or power output.</w:t>
      </w:r>
    </w:p>
    <w:p>
      <w:pPr>
        <w:numPr>
          <w:ilvl w:val="0"/>
          <w:numId w:val="1003"/>
        </w:numPr>
        <w:pStyle w:val="Compact"/>
      </w:pPr>
      <w:r>
        <w:rPr>
          <w:bCs/>
          <w:b/>
        </w:rPr>
        <w:t xml:space="preserve">Documentation:</w:t>
      </w:r>
      <w:r>
        <w:t xml:space="preserve"> </w:t>
      </w:r>
      <w:r>
        <w:t xml:space="preserve">Record all parameters, observations, and results in the provided log sheet.</w:t>
      </w:r>
    </w:p>
    <w:bookmarkEnd w:id="24"/>
    <w:bookmarkStart w:id="25" w:name="safety-precautions"/>
    <w:p>
      <w:pPr>
        <w:pStyle w:val="Heading2"/>
      </w:pPr>
      <w:r>
        <w:t xml:space="preserve">6. Safety Precautions</w:t>
      </w:r>
    </w:p>
    <w:p>
      <w:pPr>
        <w:pStyle w:val="FirstParagraph"/>
      </w:pPr>
      <w:r>
        <w:rPr>
          <w:bCs/>
          <w:b/>
        </w:rPr>
        <w:t xml:space="preserve">Warning:</w:t>
      </w:r>
      <w:r>
        <w:t xml:space="preserve"> </w:t>
      </w:r>
      <w:r>
        <w:t xml:space="preserve">Welding involves high temperatures, electric shock hazards, and harmful fumes. Strict adherence to safety protocols is mandatory.</w:t>
      </w:r>
    </w:p>
    <w:p>
      <w:pPr>
        <w:numPr>
          <w:ilvl w:val="0"/>
          <w:numId w:val="1004"/>
        </w:numPr>
        <w:pStyle w:val="Compact"/>
      </w:pPr>
      <w:r>
        <w:t xml:space="preserve">Ensure the Welder is operated by a certified professional.</w:t>
      </w:r>
    </w:p>
    <w:p>
      <w:pPr>
        <w:numPr>
          <w:ilvl w:val="0"/>
          <w:numId w:val="1004"/>
        </w:numPr>
        <w:pStyle w:val="Compact"/>
      </w:pPr>
      <w:r>
        <w:t xml:space="preserve">Use appropriate PPE at all times.</w:t>
      </w:r>
    </w:p>
    <w:p>
      <w:pPr>
        <w:numPr>
          <w:ilvl w:val="0"/>
          <w:numId w:val="1004"/>
        </w:numPr>
        <w:pStyle w:val="Compact"/>
      </w:pPr>
      <w:r>
        <w:t xml:space="preserve">Keep a fire extinguisher nearby.</w:t>
      </w:r>
    </w:p>
    <w:p>
      <w:pPr>
        <w:numPr>
          <w:ilvl w:val="0"/>
          <w:numId w:val="1004"/>
        </w:numPr>
        <w:pStyle w:val="Compact"/>
      </w:pPr>
      <w:r>
        <w:t xml:space="preserve">Ensure the work area is free of flammable materials.</w:t>
      </w:r>
    </w:p>
    <w:bookmarkEnd w:id="25"/>
    <w:bookmarkStart w:id="26" w:name="data-collection-and-analysis"/>
    <w:p>
      <w:pPr>
        <w:pStyle w:val="Heading2"/>
      </w:pPr>
      <w:r>
        <w:t xml:space="preserve">7. Data Collection and Analysis</w:t>
      </w:r>
    </w:p>
    <w:p>
      <w:pPr>
        <w:pStyle w:val="FirstParagraph"/>
      </w:pPr>
      <w:r>
        <w:t xml:space="preserve">Data will be collected on the following parameters: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Acceptance Criteria</w:t>
            </w:r>
          </w:p>
        </w:tc>
      </w:tr>
      <w:tr>
        <w:tc>
          <w:tcPr/>
          <w:p>
            <w:pPr>
              <w:pStyle w:val="Compact"/>
              <w:jc w:val="left"/>
            </w:pPr>
            <w:r>
              <w:t xml:space="preserve">Weld Penetration</w:t>
            </w:r>
          </w:p>
        </w:tc>
        <w:tc>
          <w:tcPr/>
          <w:p>
            <w:pPr>
              <w:pStyle w:val="Compact"/>
              <w:jc w:val="left"/>
            </w:pPr>
            <w:r>
              <w:t xml:space="preserve">Visual Inspection and Caliper Measurement</w:t>
            </w:r>
          </w:p>
        </w:tc>
        <w:tc>
          <w:tcPr/>
          <w:p>
            <w:pPr>
              <w:pStyle w:val="Compact"/>
              <w:jc w:val="left"/>
            </w:pPr>
            <w:r>
              <w:t xml:space="preserve">Full penetration required</w:t>
            </w:r>
          </w:p>
        </w:tc>
      </w:tr>
      <w:tr>
        <w:tc>
          <w:tcPr/>
          <w:p>
            <w:pPr>
              <w:pStyle w:val="Compact"/>
              <w:jc w:val="left"/>
            </w:pPr>
            <w:r>
              <w:t xml:space="preserve">Porosity</w:t>
            </w:r>
          </w:p>
        </w:tc>
        <w:tc>
          <w:tcPr/>
          <w:p>
            <w:pPr>
              <w:pStyle w:val="Compact"/>
              <w:jc w:val="left"/>
            </w:pPr>
            <w:r>
              <w:t xml:space="preserve">Visual Inspection</w:t>
            </w:r>
          </w:p>
        </w:tc>
        <w:tc>
          <w:tcPr/>
          <w:p>
            <w:pPr>
              <w:pStyle w:val="Compact"/>
              <w:jc w:val="left"/>
            </w:pPr>
            <w:r>
              <w:t xml:space="preserve">No visible porosity</w:t>
            </w:r>
          </w:p>
        </w:tc>
      </w:tr>
      <w:tr>
        <w:tc>
          <w:tcPr/>
          <w:p>
            <w:pPr>
              <w:pStyle w:val="Compact"/>
              <w:jc w:val="left"/>
            </w:pPr>
            <w:r>
              <w:t xml:space="preserve">Power Stability</w:t>
            </w:r>
          </w:p>
        </w:tc>
        <w:tc>
          <w:tcPr/>
          <w:p>
            <w:pPr>
              <w:pStyle w:val="Compact"/>
              <w:jc w:val="left"/>
            </w:pPr>
            <w:r>
              <w:t xml:space="preserve">Multimeter Reading</w:t>
            </w:r>
          </w:p>
        </w:tc>
        <w:tc>
          <w:tcPr/>
          <w:p>
            <w:pPr>
              <w:pStyle w:val="Compact"/>
              <w:jc w:val="left"/>
            </w:pPr>
            <w:r>
              <w:t xml:space="preserve">Voltage fluctuation within ±5%</w:t>
            </w:r>
          </w:p>
        </w:tc>
      </w:tr>
    </w:tbl>
    <w:bookmarkEnd w:id="26"/>
    <w:bookmarkStart w:id="27" w:name="conclusion"/>
    <w:p>
      <w:pPr>
        <w:pStyle w:val="Heading2"/>
      </w:pPr>
      <w:r>
        <w:t xml:space="preserve">8. Conclusion</w:t>
      </w:r>
    </w:p>
    <w:p>
      <w:pPr>
        <w:pStyle w:val="FirstParagraph"/>
      </w:pPr>
      <w:r>
        <w:t xml:space="preserve">This Experiment Protocol provides a comprehensive framework for evaluating the performance of a Welder in the specific context of Myanmar Yangon. By adhering to these guidelines, we ensure that the welding operations are safe, efficient, and produce high-quality results despite the challenging environmental conditions.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Myanmar Yangon</dc:title>
  <dc:creator/>
  <dc:language>en</dc:language>
  <cp:keywords/>
  <dcterms:created xsi:type="dcterms:W3CDTF">2026-10-10T02:39:11Z</dcterms:created>
  <dcterms:modified xsi:type="dcterms:W3CDTF">2026-10-10T02:39:11Z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