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8" w:name="X22d55c4b4cf254da622ba092f0f58a14fa53180"/>
    <w:p>
      <w:pPr>
        <w:pStyle w:val="Heading1"/>
      </w:pPr>
      <w:r>
        <w:t xml:space="preserve">Experiment Protocol: Welder Performance Evaluation</w:t>
      </w:r>
    </w:p>
    <w:p>
      <w:pPr>
        <w:pStyle w:val="FirstParagraph"/>
      </w:pPr>
      <w:r>
        <w:rPr>
          <w:bCs/>
          <w:b/>
        </w:rPr>
        <w:t xml:space="preserve">Location:</w:t>
      </w:r>
      <w:r>
        <w:t xml:space="preserve"> </w:t>
      </w:r>
      <w:r>
        <w:t xml:space="preserve">Ho Chi Minh City, Vietnam</w:t>
      </w:r>
      <w:r>
        <w:br/>
      </w: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Prepared By:</w:t>
      </w:r>
      <w:r>
        <w:t xml:space="preserve"> </w:t>
      </w:r>
      <w:r>
        <w:t xml:space="preserve">Technical Research Division</w:t>
      </w:r>
    </w:p>
    <w:bookmarkStart w:id="20" w:name="objective"/>
    <w:p>
      <w:pPr>
        <w:pStyle w:val="Heading2"/>
      </w:pPr>
      <w:r>
        <w:t xml:space="preserve">1. Objective</w:t>
      </w:r>
    </w:p>
    <w:p>
      <w:pPr>
        <w:pStyle w:val="FirstParagraph"/>
      </w:pPr>
      <w:r>
        <w:t xml:space="preserve">The primary objective of this Experiment Protocol is to evaluate the performance, durability, and safety of industrial welding equipment under the specific environmental conditions found in Ho Chi Minh City, Vietnam. This study aims to determine how high humidity, elevated temperatures, and urban atmospheric conditions affect weld quality, equipment longevity, and operator safety. The results will inform best practices for welding operations in tropical urban environments.</w:t>
      </w:r>
    </w:p>
    <w:bookmarkEnd w:id="20"/>
    <w:bookmarkStart w:id="21" w:name="scope"/>
    <w:p>
      <w:pPr>
        <w:pStyle w:val="Heading2"/>
      </w:pPr>
      <w:r>
        <w:t xml:space="preserve">2. Scope</w:t>
      </w:r>
    </w:p>
    <w:p>
      <w:pPr>
        <w:pStyle w:val="FirstParagraph"/>
      </w:pPr>
      <w:r>
        <w:t xml:space="preserve">This protocol applies to all welding experiments conducted within designated facilities in Ho Chi Minh City. It covers:</w:t>
      </w:r>
    </w:p>
    <w:p>
      <w:pPr>
        <w:numPr>
          <w:ilvl w:val="0"/>
          <w:numId w:val="1001"/>
        </w:numPr>
        <w:pStyle w:val="Compact"/>
      </w:pPr>
      <w:r>
        <w:t xml:space="preserve">Performance testing of MIG, TIG, and Stick welding processes</w:t>
      </w:r>
    </w:p>
    <w:p>
      <w:pPr>
        <w:numPr>
          <w:ilvl w:val="0"/>
          <w:numId w:val="1001"/>
        </w:numPr>
        <w:pStyle w:val="Compact"/>
      </w:pPr>
      <w:r>
        <w:t xml:space="preserve">Environmental impact assessment on welding equipment</w:t>
      </w:r>
    </w:p>
    <w:p>
      <w:pPr>
        <w:numPr>
          <w:ilvl w:val="0"/>
          <w:numId w:val="1001"/>
        </w:numPr>
        <w:pStyle w:val="Compact"/>
      </w:pPr>
      <w:r>
        <w:t xml:space="preserve">Weld quality analysis under tropical conditions</w:t>
      </w:r>
    </w:p>
    <w:p>
      <w:pPr>
        <w:numPr>
          <w:ilvl w:val="0"/>
          <w:numId w:val="1001"/>
        </w:numPr>
        <w:pStyle w:val="Compact"/>
      </w:pPr>
      <w:r>
        <w:t xml:space="preserve">Operator safety and ergonomic evaluations</w:t>
      </w:r>
    </w:p>
    <w:p>
      <w:pPr>
        <w:numPr>
          <w:ilvl w:val="0"/>
          <w:numId w:val="1001"/>
        </w:numPr>
        <w:pStyle w:val="Compact"/>
      </w:pPr>
      <w:r>
        <w:t xml:space="preserve">Compliance with Vietnamese industrial safety standards</w:t>
      </w:r>
    </w:p>
    <w:bookmarkEnd w:id="21"/>
    <w:bookmarkStart w:id="22" w:name="environmental-context-ho-chi-minh-city"/>
    <w:p>
      <w:pPr>
        <w:pStyle w:val="Heading2"/>
      </w:pPr>
      <w:r>
        <w:t xml:space="preserve">3. Environmental Context: Ho Chi Minh City</w:t>
      </w:r>
    </w:p>
    <w:p>
      <w:pPr>
        <w:pStyle w:val="FirstParagraph"/>
      </w:pPr>
      <w:r>
        <w:t xml:space="preserve">Ho Chi Minh City presents unique challenges for welding operations due to its tropical monsoon climate. Key environmental factors include:</w:t>
      </w:r>
    </w:p>
    <w:p>
      <w:pPr>
        <w:numPr>
          <w:ilvl w:val="0"/>
          <w:numId w:val="1002"/>
        </w:numPr>
        <w:pStyle w:val="Compact"/>
      </w:pPr>
      <w:r>
        <w:rPr>
          <w:bCs/>
          <w:b/>
        </w:rPr>
        <w:t xml:space="preserve">Temperature:</w:t>
      </w:r>
      <w:r>
        <w:t xml:space="preserve"> </w:t>
      </w:r>
      <w:r>
        <w:t xml:space="preserve">Average annual temperature of 27-35°C (80-95°F)</w:t>
      </w:r>
    </w:p>
    <w:p>
      <w:pPr>
        <w:numPr>
          <w:ilvl w:val="0"/>
          <w:numId w:val="1002"/>
        </w:numPr>
        <w:pStyle w:val="Compact"/>
      </w:pPr>
      <w:r>
        <w:rPr>
          <w:bCs/>
          <w:b/>
        </w:rPr>
        <w:t xml:space="preserve">Humidity:</w:t>
      </w:r>
      <w:r>
        <w:t xml:space="preserve"> </w:t>
      </w:r>
      <w:r>
        <w:t xml:space="preserve">Relative humidity ranging from 70-90% year-round</w:t>
      </w:r>
    </w:p>
    <w:p>
      <w:pPr>
        <w:numPr>
          <w:ilvl w:val="0"/>
          <w:numId w:val="1002"/>
        </w:numPr>
        <w:pStyle w:val="Compact"/>
      </w:pPr>
      <w:r>
        <w:rPr>
          <w:bCs/>
          <w:b/>
        </w:rPr>
        <w:t xml:space="preserve">Rainfall:</w:t>
      </w:r>
      <w:r>
        <w:t xml:space="preserve"> </w:t>
      </w:r>
      <w:r>
        <w:t xml:space="preserve">Heavy seasonal rainfall during monsoon periods</w:t>
      </w:r>
    </w:p>
    <w:p>
      <w:pPr>
        <w:numPr>
          <w:ilvl w:val="0"/>
          <w:numId w:val="1002"/>
        </w:numPr>
        <w:pStyle w:val="Compact"/>
      </w:pPr>
      <w:r>
        <w:rPr>
          <w:bCs/>
          <w:b/>
        </w:rPr>
        <w:t xml:space="preserve">Air Quality:</w:t>
      </w:r>
      <w:r>
        <w:t xml:space="preserve"> </w:t>
      </w:r>
      <w:r>
        <w:t xml:space="preserve">Urban pollution levels affecting ventilation requirements</w:t>
      </w:r>
    </w:p>
    <w:p>
      <w:pPr>
        <w:pStyle w:val="FirstParagraph"/>
      </w:pPr>
      <w:r>
        <w:rPr>
          <w:bCs/>
          <w:b/>
        </w:rPr>
        <w:t xml:space="preserve">Note:</w:t>
      </w:r>
      <w:r>
        <w:t xml:space="preserve"> </w:t>
      </w:r>
      <w:r>
        <w:t xml:space="preserve">All experimental procedures must account for these environmental variables, as they significantly influence welding outcomes and equipment performance.</w:t>
      </w:r>
    </w:p>
    <w:bookmarkEnd w:id="22"/>
    <w:bookmarkStart w:id="25" w:name="equipment-and-materials"/>
    <w:p>
      <w:pPr>
        <w:pStyle w:val="Heading2"/>
      </w:pPr>
      <w:r>
        <w:t xml:space="preserve">4. Equipment and Materials</w:t>
      </w:r>
    </w:p>
    <w:bookmarkStart w:id="23" w:name="welding-equipment"/>
    <w:p>
      <w:pPr>
        <w:pStyle w:val="Heading3"/>
      </w:pPr>
      <w:r>
        <w:t xml:space="preserve">4.1 Welding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 Type</w:t>
            </w:r>
          </w:p>
        </w:tc>
        <w:tc>
          <w:tcPr/>
          <w:p>
            <w:pPr>
              <w:pStyle w:val="Compact"/>
              <w:jc w:val="left"/>
            </w:pPr>
            <w:r>
              <w:t xml:space="preserve">Specifications</w:t>
            </w:r>
          </w:p>
        </w:tc>
        <w:tc>
          <w:tcPr/>
          <w:p>
            <w:pPr>
              <w:pStyle w:val="Compact"/>
              <w:jc w:val="left"/>
            </w:pPr>
            <w:r>
              <w:t xml:space="preserve">Quantity</w:t>
            </w:r>
          </w:p>
        </w:tc>
      </w:tr>
      <w:tr>
        <w:tc>
          <w:tcPr/>
          <w:p>
            <w:pPr>
              <w:pStyle w:val="Compact"/>
              <w:jc w:val="left"/>
            </w:pPr>
            <w:r>
              <w:t xml:space="preserve">MIG Welder</w:t>
            </w:r>
          </w:p>
        </w:tc>
        <w:tc>
          <w:tcPr/>
          <w:p>
            <w:pPr>
              <w:pStyle w:val="Compact"/>
              <w:jc w:val="left"/>
            </w:pPr>
            <w:r>
              <w:t xml:space="preserve">200-300A, inverter-based</w:t>
            </w:r>
          </w:p>
        </w:tc>
        <w:tc>
          <w:tcPr/>
          <w:p>
            <w:pPr>
              <w:pStyle w:val="Compact"/>
              <w:jc w:val="left"/>
            </w:pPr>
            <w:r>
              <w:t xml:space="preserve">3 units</w:t>
            </w:r>
          </w:p>
        </w:tc>
      </w:tr>
      <w:tr>
        <w:tc>
          <w:tcPr/>
          <w:p>
            <w:pPr>
              <w:pStyle w:val="Compact"/>
              <w:jc w:val="left"/>
            </w:pPr>
            <w:r>
              <w:t xml:space="preserve">TIG Welder</w:t>
            </w:r>
          </w:p>
        </w:tc>
        <w:tc>
          <w:tcPr/>
          <w:p>
            <w:pPr>
              <w:pStyle w:val="Compact"/>
              <w:jc w:val="left"/>
            </w:pPr>
            <w:r>
              <w:t xml:space="preserve">200A, AC/DC capability</w:t>
            </w:r>
          </w:p>
        </w:tc>
        <w:tc>
          <w:tcPr/>
          <w:p>
            <w:pPr>
              <w:pStyle w:val="Compact"/>
              <w:jc w:val="left"/>
            </w:pPr>
            <w:r>
              <w:t xml:space="preserve">2 units</w:t>
            </w:r>
          </w:p>
        </w:tc>
      </w:tr>
      <w:tr>
        <w:tc>
          <w:tcPr/>
          <w:p>
            <w:pPr>
              <w:pStyle w:val="Compact"/>
              <w:jc w:val="left"/>
            </w:pPr>
            <w:r>
              <w:t xml:space="preserve">Stick Welder</w:t>
            </w:r>
          </w:p>
        </w:tc>
        <w:tc>
          <w:tcPr/>
          <w:p>
            <w:pPr>
              <w:pStyle w:val="Compact"/>
              <w:jc w:val="left"/>
            </w:pPr>
            <w:r>
              <w:t xml:space="preserve">250A, transformer-based</w:t>
            </w:r>
          </w:p>
        </w:tc>
        <w:tc>
          <w:tcPr/>
          <w:p>
            <w:pPr>
              <w:pStyle w:val="Compact"/>
              <w:jc w:val="left"/>
            </w:pPr>
            <w:r>
              <w:t xml:space="preserve">2 units</w:t>
            </w:r>
          </w:p>
        </w:tc>
      </w:tr>
      <w:tr>
        <w:tc>
          <w:tcPr/>
          <w:p>
            <w:pPr>
              <w:pStyle w:val="Compact"/>
              <w:jc w:val="left"/>
            </w:pPr>
            <w:r>
              <w:t xml:space="preserve">Gas Supply</w:t>
            </w:r>
          </w:p>
        </w:tc>
        <w:tc>
          <w:tcPr/>
          <w:p>
            <w:pPr>
              <w:pStyle w:val="Compact"/>
              <w:jc w:val="left"/>
            </w:pPr>
            <w:r>
              <w:t xml:space="preserve">Argon, CO2, Argon/CO2 mix</w:t>
            </w:r>
          </w:p>
        </w:tc>
        <w:tc>
          <w:tcPr/>
          <w:p>
            <w:pPr>
              <w:pStyle w:val="Compact"/>
              <w:jc w:val="left"/>
            </w:pPr>
            <w:r>
              <w:t xml:space="preserve">As required</w:t>
            </w:r>
          </w:p>
        </w:tc>
      </w:tr>
    </w:tbl>
    <w:bookmarkEnd w:id="23"/>
    <w:bookmarkStart w:id="24" w:name="testing-materials"/>
    <w:p>
      <w:pPr>
        <w:pStyle w:val="Heading3"/>
      </w:pPr>
      <w:r>
        <w:t xml:space="preserve">4.2 Testing Materials</w:t>
      </w:r>
    </w:p>
    <w:p>
      <w:pPr>
        <w:numPr>
          <w:ilvl w:val="0"/>
          <w:numId w:val="1003"/>
        </w:numPr>
        <w:pStyle w:val="Compact"/>
      </w:pPr>
      <w:r>
        <w:t xml:space="preserve">Mild steel plates (SS400 grade): 3mm, 6mm, 10mm thickness</w:t>
      </w:r>
    </w:p>
    <w:p>
      <w:pPr>
        <w:numPr>
          <w:ilvl w:val="0"/>
          <w:numId w:val="1003"/>
        </w:numPr>
        <w:pStyle w:val="Compact"/>
      </w:pPr>
      <w:r>
        <w:t xml:space="preserve">Stainless steel plates (304 grade): 3mm, 5mm thickness</w:t>
      </w:r>
    </w:p>
    <w:p>
      <w:pPr>
        <w:numPr>
          <w:ilvl w:val="0"/>
          <w:numId w:val="1003"/>
        </w:numPr>
        <w:pStyle w:val="Compact"/>
      </w:pPr>
      <w:r>
        <w:t xml:space="preserve">Aluminum plates (6061 grade): 3mm, 5mm thickness</w:t>
      </w:r>
    </w:p>
    <w:p>
      <w:pPr>
        <w:numPr>
          <w:ilvl w:val="0"/>
          <w:numId w:val="1003"/>
        </w:numPr>
        <w:pStyle w:val="Compact"/>
      </w:pPr>
      <w:r>
        <w:t xml:space="preserve">Standard welding consumables certified for tropical conditions</w:t>
      </w:r>
    </w:p>
    <w:bookmarkEnd w:id="24"/>
    <w:bookmarkEnd w:id="25"/>
    <w:bookmarkStart w:id="30" w:name="experimental-procedures"/>
    <w:p>
      <w:pPr>
        <w:pStyle w:val="Heading2"/>
      </w:pPr>
      <w:r>
        <w:t xml:space="preserve">5. Experimental Procedures</w:t>
      </w:r>
    </w:p>
    <w:bookmarkStart w:id="26" w:name="pre-experiment-preparation"/>
    <w:p>
      <w:pPr>
        <w:pStyle w:val="Heading3"/>
      </w:pPr>
      <w:r>
        <w:t xml:space="preserve">5.1 Pre-Experiment Preparation</w:t>
      </w:r>
    </w:p>
    <w:p>
      <w:pPr>
        <w:numPr>
          <w:ilvl w:val="0"/>
          <w:numId w:val="1004"/>
        </w:numPr>
        <w:pStyle w:val="Compact"/>
      </w:pPr>
      <w:r>
        <w:t xml:space="preserve">Calibrate all welding equipment according to manufacturer specifications</w:t>
      </w:r>
    </w:p>
    <w:p>
      <w:pPr>
        <w:numPr>
          <w:ilvl w:val="0"/>
          <w:numId w:val="1004"/>
        </w:numPr>
        <w:pStyle w:val="Compact"/>
      </w:pPr>
      <w:r>
        <w:t xml:space="preserve">Verify environmental monitoring equipment (temperature, humidity sensors)</w:t>
      </w:r>
    </w:p>
    <w:p>
      <w:pPr>
        <w:numPr>
          <w:ilvl w:val="0"/>
          <w:numId w:val="1004"/>
        </w:numPr>
        <w:pStyle w:val="Compact"/>
      </w:pPr>
      <w:r>
        <w:t xml:space="preserve">Prepare test specimens according to ISO 15614-1 standards</w:t>
      </w:r>
    </w:p>
    <w:p>
      <w:pPr>
        <w:numPr>
          <w:ilvl w:val="0"/>
          <w:numId w:val="1004"/>
        </w:numPr>
        <w:pStyle w:val="Compact"/>
      </w:pPr>
      <w:r>
        <w:t xml:space="preserve">Ensure proper ventilation systems are operational</w:t>
      </w:r>
    </w:p>
    <w:p>
      <w:pPr>
        <w:numPr>
          <w:ilvl w:val="0"/>
          <w:numId w:val="1004"/>
        </w:numPr>
        <w:pStyle w:val="Compact"/>
      </w:pPr>
      <w:r>
        <w:t xml:space="preserve">Brief all personnel on safety protocols specific to Ho Chi Minh City conditions</w:t>
      </w:r>
    </w:p>
    <w:bookmarkEnd w:id="26"/>
    <w:bookmarkStart w:id="27" w:name="environmental-monitoring"/>
    <w:p>
      <w:pPr>
        <w:pStyle w:val="Heading3"/>
      </w:pPr>
      <w:r>
        <w:t xml:space="preserve">5.2 Environmental Monitoring</w:t>
      </w:r>
    </w:p>
    <w:p>
      <w:pPr>
        <w:pStyle w:val="FirstParagraph"/>
      </w:pPr>
      <w:r>
        <w:t xml:space="preserve">Continuous monitoring of environmental conditions is essential throughout the experiment:</w:t>
      </w:r>
    </w:p>
    <w:p>
      <w:pPr>
        <w:numPr>
          <w:ilvl w:val="0"/>
          <w:numId w:val="1005"/>
        </w:numPr>
        <w:pStyle w:val="Compact"/>
      </w:pPr>
      <w:r>
        <w:t xml:space="preserve">Record temperature and humidity every 30 minutes</w:t>
      </w:r>
    </w:p>
    <w:p>
      <w:pPr>
        <w:numPr>
          <w:ilvl w:val="0"/>
          <w:numId w:val="1005"/>
        </w:numPr>
        <w:pStyle w:val="Compact"/>
      </w:pPr>
      <w:r>
        <w:t xml:space="preserve">Monitor air quality using portable particulate matter sensors</w:t>
      </w:r>
    </w:p>
    <w:p>
      <w:pPr>
        <w:numPr>
          <w:ilvl w:val="0"/>
          <w:numId w:val="1005"/>
        </w:numPr>
        <w:pStyle w:val="Compact"/>
      </w:pPr>
      <w:r>
        <w:t xml:space="preserve">Document any weather-related interruptions</w:t>
      </w:r>
    </w:p>
    <w:p>
      <w:pPr>
        <w:numPr>
          <w:ilvl w:val="0"/>
          <w:numId w:val="1005"/>
        </w:numPr>
        <w:pStyle w:val="Compact"/>
      </w:pPr>
      <w:r>
        <w:t xml:space="preserve">Maintain detailed logs correlating environmental data with welding parameters</w:t>
      </w:r>
    </w:p>
    <w:bookmarkEnd w:id="27"/>
    <w:bookmarkStart w:id="28" w:name="welding-tests"/>
    <w:p>
      <w:pPr>
        <w:pStyle w:val="Heading3"/>
      </w:pPr>
      <w:r>
        <w:t xml:space="preserve">5.3 Welding Tests</w:t>
      </w:r>
    </w:p>
    <w:p>
      <w:pPr>
        <w:pStyle w:val="FirstParagraph"/>
      </w:pPr>
      <w:r>
        <w:t xml:space="preserve">Each welding process will be tested under controlled conditions:</w:t>
      </w:r>
    </w:p>
    <w:p>
      <w:pPr>
        <w:numPr>
          <w:ilvl w:val="0"/>
          <w:numId w:val="1006"/>
        </w:numPr>
        <w:pStyle w:val="Compact"/>
      </w:pPr>
      <w:r>
        <w:rPr>
          <w:bCs/>
          <w:b/>
        </w:rPr>
        <w:t xml:space="preserve">Baseline Testing:</w:t>
      </w:r>
      <w:r>
        <w:t xml:space="preserve"> </w:t>
      </w:r>
      <w:r>
        <w:t xml:space="preserve">Perform welds under optimal conditions to establish reference quality standards</w:t>
      </w:r>
    </w:p>
    <w:p>
      <w:pPr>
        <w:numPr>
          <w:ilvl w:val="0"/>
          <w:numId w:val="1006"/>
        </w:numPr>
        <w:pStyle w:val="Compact"/>
      </w:pPr>
      <w:r>
        <w:rPr>
          <w:bCs/>
          <w:b/>
        </w:rPr>
        <w:t xml:space="preserve">Humidity Impact Testing:</w:t>
      </w:r>
      <w:r>
        <w:t xml:space="preserve"> </w:t>
      </w:r>
      <w:r>
        <w:t xml:space="preserve">Conduct welds during periods of high humidity (&gt;85%) to assess moisture-related defects</w:t>
      </w:r>
    </w:p>
    <w:p>
      <w:pPr>
        <w:numPr>
          <w:ilvl w:val="0"/>
          <w:numId w:val="1006"/>
        </w:numPr>
        <w:pStyle w:val="Compact"/>
      </w:pPr>
      <w:r>
        <w:rPr>
          <w:bCs/>
          <w:b/>
        </w:rPr>
        <w:t xml:space="preserve">Temperature Stress Testing:</w:t>
      </w:r>
      <w:r>
        <w:t xml:space="preserve"> </w:t>
      </w:r>
      <w:r>
        <w:t xml:space="preserve">Evaluate equipment performance during peak temperature hours</w:t>
      </w:r>
    </w:p>
    <w:p>
      <w:pPr>
        <w:numPr>
          <w:ilvl w:val="0"/>
          <w:numId w:val="1006"/>
        </w:numPr>
        <w:pStyle w:val="Compact"/>
      </w:pPr>
      <w:r>
        <w:rPr>
          <w:bCs/>
          <w:b/>
        </w:rPr>
        <w:t xml:space="preserve">Extended Operation Testing:</w:t>
      </w:r>
      <w:r>
        <w:t xml:space="preserve"> </w:t>
      </w:r>
      <w:r>
        <w:t xml:space="preserve">Run equipment continuously for 8-hour shifts to assess thermal management</w:t>
      </w:r>
    </w:p>
    <w:bookmarkEnd w:id="28"/>
    <w:bookmarkStart w:id="29" w:name="quality-assessment"/>
    <w:p>
      <w:pPr>
        <w:pStyle w:val="Heading3"/>
      </w:pPr>
      <w:r>
        <w:t xml:space="preserve">5.4 Quality Assessment</w:t>
      </w:r>
    </w:p>
    <w:p>
      <w:pPr>
        <w:pStyle w:val="FirstParagraph"/>
      </w:pPr>
      <w:r>
        <w:t xml:space="preserve">All weld specimens will undergo:</w:t>
      </w:r>
    </w:p>
    <w:p>
      <w:pPr>
        <w:numPr>
          <w:ilvl w:val="0"/>
          <w:numId w:val="1007"/>
        </w:numPr>
        <w:pStyle w:val="Compact"/>
      </w:pPr>
      <w:r>
        <w:t xml:space="preserve">Visual inspection according to AWS D1.1 standards</w:t>
      </w:r>
    </w:p>
    <w:p>
      <w:pPr>
        <w:numPr>
          <w:ilvl w:val="0"/>
          <w:numId w:val="1007"/>
        </w:numPr>
        <w:pStyle w:val="Compact"/>
      </w:pPr>
      <w:r>
        <w:t xml:space="preserve">Non-destructive testing (NDT) including dye penetrant and magnetic particle inspection</w:t>
      </w:r>
    </w:p>
    <w:p>
      <w:pPr>
        <w:numPr>
          <w:ilvl w:val="0"/>
          <w:numId w:val="1007"/>
        </w:numPr>
        <w:pStyle w:val="Compact"/>
      </w:pPr>
      <w:r>
        <w:t xml:space="preserve">Mechanical testing including tensile strength and bend tests</w:t>
      </w:r>
    </w:p>
    <w:p>
      <w:pPr>
        <w:numPr>
          <w:ilvl w:val="0"/>
          <w:numId w:val="1007"/>
        </w:numPr>
        <w:pStyle w:val="Compact"/>
      </w:pPr>
      <w:r>
        <w:t xml:space="preserve">Microstructural analysis to detect hydrogen-induced cracking</w:t>
      </w:r>
    </w:p>
    <w:bookmarkEnd w:id="29"/>
    <w:bookmarkEnd w:id="30"/>
    <w:bookmarkStart w:id="34" w:name="safety-protocols"/>
    <w:p>
      <w:pPr>
        <w:pStyle w:val="Heading2"/>
      </w:pPr>
      <w:r>
        <w:t xml:space="preserve">6. Safety Protocols</w:t>
      </w:r>
    </w:p>
    <w:p>
      <w:pPr>
        <w:pStyle w:val="FirstParagraph"/>
      </w:pPr>
      <w:r>
        <w:rPr>
          <w:bCs/>
          <w:b/>
        </w:rPr>
        <w:t xml:space="preserve">Warning:</w:t>
      </w:r>
      <w:r>
        <w:t xml:space="preserve"> </w:t>
      </w:r>
      <w:r>
        <w:t xml:space="preserve">Strict adherence to safety protocols is mandatory. Ho Chi Minh City's environmental conditions may exacerbate certain hazards.</w:t>
      </w:r>
    </w:p>
    <w:bookmarkStart w:id="31" w:name="personal-protective-equipment-ppe"/>
    <w:p>
      <w:pPr>
        <w:pStyle w:val="Heading3"/>
      </w:pPr>
      <w:r>
        <w:t xml:space="preserve">6.1 Personal Protective Equipment (PPE)</w:t>
      </w:r>
    </w:p>
    <w:p>
      <w:pPr>
        <w:numPr>
          <w:ilvl w:val="0"/>
          <w:numId w:val="1008"/>
        </w:numPr>
        <w:pStyle w:val="Compact"/>
      </w:pPr>
      <w:r>
        <w:t xml:space="preserve">Welding helmets with appropriate shade lenses</w:t>
      </w:r>
    </w:p>
    <w:p>
      <w:pPr>
        <w:numPr>
          <w:ilvl w:val="0"/>
          <w:numId w:val="1008"/>
        </w:numPr>
        <w:pStyle w:val="Compact"/>
      </w:pPr>
      <w:r>
        <w:t xml:space="preserve">Heat-resistant gloves and clothing</w:t>
      </w:r>
    </w:p>
    <w:p>
      <w:pPr>
        <w:numPr>
          <w:ilvl w:val="0"/>
          <w:numId w:val="1008"/>
        </w:numPr>
        <w:pStyle w:val="Compact"/>
      </w:pPr>
      <w:r>
        <w:t xml:space="preserve">Respiratory protection suitable for tropical humidity</w:t>
      </w:r>
    </w:p>
    <w:p>
      <w:pPr>
        <w:numPr>
          <w:ilvl w:val="0"/>
          <w:numId w:val="1008"/>
        </w:numPr>
        <w:pStyle w:val="Compact"/>
      </w:pPr>
      <w:r>
        <w:t xml:space="preserve">Safety boots with electrical insulation</w:t>
      </w:r>
    </w:p>
    <w:bookmarkEnd w:id="31"/>
    <w:bookmarkStart w:id="32" w:name="environmental-safety"/>
    <w:p>
      <w:pPr>
        <w:pStyle w:val="Heading3"/>
      </w:pPr>
      <w:r>
        <w:t xml:space="preserve">6.2 Environmental Safety</w:t>
      </w:r>
    </w:p>
    <w:p>
      <w:pPr>
        <w:numPr>
          <w:ilvl w:val="0"/>
          <w:numId w:val="1009"/>
        </w:numPr>
        <w:pStyle w:val="Compact"/>
      </w:pPr>
      <w:r>
        <w:t xml:space="preserve">Ensure adequate ventilation to prevent heat stress</w:t>
      </w:r>
    </w:p>
    <w:p>
      <w:pPr>
        <w:numPr>
          <w:ilvl w:val="0"/>
          <w:numId w:val="1009"/>
        </w:numPr>
        <w:pStyle w:val="Compact"/>
      </w:pPr>
      <w:r>
        <w:t xml:space="preserve">Provide cooling breaks during high-temperature periods</w:t>
      </w:r>
    </w:p>
    <w:p>
      <w:pPr>
        <w:numPr>
          <w:ilvl w:val="0"/>
          <w:numId w:val="1009"/>
        </w:numPr>
        <w:pStyle w:val="Compact"/>
      </w:pPr>
      <w:r>
        <w:t xml:space="preserve">Implement lightning safety procedures during monsoon season</w:t>
      </w:r>
    </w:p>
    <w:p>
      <w:pPr>
        <w:numPr>
          <w:ilvl w:val="0"/>
          <w:numId w:val="1009"/>
        </w:numPr>
        <w:pStyle w:val="Compact"/>
      </w:pPr>
      <w:r>
        <w:t xml:space="preserve">Maintain fire suppression equipment suitable for humid conditions</w:t>
      </w:r>
    </w:p>
    <w:bookmarkEnd w:id="32"/>
    <w:bookmarkStart w:id="33" w:name="electrical-safety"/>
    <w:p>
      <w:pPr>
        <w:pStyle w:val="Heading3"/>
      </w:pPr>
      <w:r>
        <w:t xml:space="preserve">6.3 Electrical Safety</w:t>
      </w:r>
    </w:p>
    <w:p>
      <w:pPr>
        <w:numPr>
          <w:ilvl w:val="0"/>
          <w:numId w:val="1010"/>
        </w:numPr>
        <w:pStyle w:val="Compact"/>
      </w:pPr>
      <w:r>
        <w:t xml:space="preserve">Use ground fault circuit interrupters (GFCIs) on all equipment</w:t>
      </w:r>
    </w:p>
    <w:p>
      <w:pPr>
        <w:numPr>
          <w:ilvl w:val="0"/>
          <w:numId w:val="1010"/>
        </w:numPr>
        <w:pStyle w:val="Compact"/>
      </w:pPr>
      <w:r>
        <w:t xml:space="preserve">Regularly inspect cables for moisture damage</w:t>
      </w:r>
    </w:p>
    <w:p>
      <w:pPr>
        <w:numPr>
          <w:ilvl w:val="0"/>
          <w:numId w:val="1010"/>
        </w:numPr>
        <w:pStyle w:val="Compact"/>
      </w:pPr>
      <w:r>
        <w:t xml:space="preserve">Ensure proper grounding considering soil conductivity in Ho Chi Minh City</w:t>
      </w:r>
    </w:p>
    <w:bookmarkEnd w:id="33"/>
    <w:bookmarkEnd w:id="34"/>
    <w:bookmarkStart w:id="35" w:name="data-collection-and-analysis"/>
    <w:p>
      <w:pPr>
        <w:pStyle w:val="Heading2"/>
      </w:pPr>
      <w:r>
        <w:t xml:space="preserve">7. Data Collection and Analysis</w:t>
      </w:r>
    </w:p>
    <w:p>
      <w:pPr>
        <w:pStyle w:val="FirstParagraph"/>
      </w:pPr>
      <w:r>
        <w:t xml:space="preserve">All experimental data will be recorded in standardized formats and analyzed using statistical methods. Key performance indicators include:</w:t>
      </w:r>
    </w:p>
    <w:p>
      <w:pPr>
        <w:numPr>
          <w:ilvl w:val="0"/>
          <w:numId w:val="1011"/>
        </w:numPr>
        <w:pStyle w:val="Compact"/>
      </w:pPr>
      <w:r>
        <w:t xml:space="preserve">Weld defect rates under varying environmental conditions</w:t>
      </w:r>
    </w:p>
    <w:p>
      <w:pPr>
        <w:numPr>
          <w:ilvl w:val="0"/>
          <w:numId w:val="1011"/>
        </w:numPr>
        <w:pStyle w:val="Compact"/>
      </w:pPr>
      <w:r>
        <w:t xml:space="preserve">Equipment downtime and maintenance requirements</w:t>
      </w:r>
    </w:p>
    <w:p>
      <w:pPr>
        <w:numPr>
          <w:ilvl w:val="0"/>
          <w:numId w:val="1011"/>
        </w:numPr>
        <w:pStyle w:val="Compact"/>
      </w:pPr>
      <w:r>
        <w:t xml:space="preserve">Energy consumption patterns</w:t>
      </w:r>
    </w:p>
    <w:p>
      <w:pPr>
        <w:numPr>
          <w:ilvl w:val="0"/>
          <w:numId w:val="1011"/>
        </w:numPr>
        <w:pStyle w:val="Compact"/>
      </w:pPr>
      <w:r>
        <w:t xml:space="preserve">Operator productivity and fatigue levels</w:t>
      </w:r>
    </w:p>
    <w:p>
      <w:pPr>
        <w:pStyle w:val="FirstParagraph"/>
      </w:pPr>
      <w:r>
        <w:t xml:space="preserve">Data analysis will compare results against international standards and previous studies conducted in different climatic regions to isolate the specific impacts of Ho Chi Minh City's environment.</w:t>
      </w:r>
    </w:p>
    <w:bookmarkEnd w:id="35"/>
    <w:bookmarkStart w:id="36" w:name="reporting-and-documentation"/>
    <w:p>
      <w:pPr>
        <w:pStyle w:val="Heading2"/>
      </w:pPr>
      <w:r>
        <w:t xml:space="preserve">8. Reporting and Documentation</w:t>
      </w:r>
    </w:p>
    <w:p>
      <w:pPr>
        <w:pStyle w:val="FirstParagraph"/>
      </w:pPr>
      <w:r>
        <w:t xml:space="preserve">A comprehensive report will be generated upon completion of the experiment, including:</w:t>
      </w:r>
    </w:p>
    <w:p>
      <w:pPr>
        <w:numPr>
          <w:ilvl w:val="0"/>
          <w:numId w:val="1012"/>
        </w:numPr>
        <w:pStyle w:val="Compact"/>
      </w:pPr>
      <w:r>
        <w:t xml:space="preserve">Executive summary of findings</w:t>
      </w:r>
    </w:p>
    <w:p>
      <w:pPr>
        <w:numPr>
          <w:ilvl w:val="0"/>
          <w:numId w:val="1012"/>
        </w:numPr>
        <w:pStyle w:val="Compact"/>
      </w:pPr>
      <w:r>
        <w:t xml:space="preserve">Detailed methodology and procedures</w:t>
      </w:r>
    </w:p>
    <w:p>
      <w:pPr>
        <w:numPr>
          <w:ilvl w:val="0"/>
          <w:numId w:val="1012"/>
        </w:numPr>
        <w:pStyle w:val="Compact"/>
      </w:pPr>
      <w:r>
        <w:t xml:space="preserve">Statistical analysis of results</w:t>
      </w:r>
    </w:p>
    <w:p>
      <w:pPr>
        <w:numPr>
          <w:ilvl w:val="0"/>
          <w:numId w:val="1012"/>
        </w:numPr>
        <w:pStyle w:val="Compact"/>
      </w:pPr>
      <w:r>
        <w:t xml:space="preserve">Recommendations for welding operations in Ho Chi Minh City</w:t>
      </w:r>
    </w:p>
    <w:p>
      <w:pPr>
        <w:numPr>
          <w:ilvl w:val="0"/>
          <w:numId w:val="1012"/>
        </w:numPr>
        <w:pStyle w:val="Compact"/>
      </w:pPr>
      <w:r>
        <w:t xml:space="preserve">Safety guidelines specific to tropical urban environments</w:t>
      </w:r>
    </w:p>
    <w:p>
      <w:pPr>
        <w:pStyle w:val="FirstParagraph"/>
      </w:pPr>
      <w:r>
        <w:t xml:space="preserve">All documentation will be maintained in accordance with Vietnamese industrial regulations and international best practices.</w:t>
      </w:r>
    </w:p>
    <w:bookmarkEnd w:id="36"/>
    <w:bookmarkStart w:id="37" w:name="approval-and-signatures"/>
    <w:p>
      <w:pPr>
        <w:pStyle w:val="Heading2"/>
      </w:pPr>
      <w:r>
        <w:t xml:space="preserve">9. Approval and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Project Lead</w:t>
            </w:r>
          </w:p>
        </w:tc>
        <w:tc>
          <w:tcPr/>
          <w:p>
            <w:pPr>
              <w:pStyle w:val="Compact"/>
            </w:pPr>
          </w:p>
        </w:tc>
        <w:tc>
          <w:tcPr/>
          <w:p>
            <w:pPr>
              <w:pStyle w:val="Compact"/>
            </w:pPr>
          </w:p>
        </w:tc>
        <w:tc>
          <w:tcPr/>
          <w:p>
            <w:pPr>
              <w:pStyle w:val="Compact"/>
            </w:pPr>
          </w:p>
        </w:tc>
      </w:tr>
      <w:tr>
        <w:tc>
          <w:tcPr/>
          <w:p>
            <w:pPr>
              <w:pStyle w:val="Compact"/>
              <w:jc w:val="left"/>
            </w:pPr>
            <w:r>
              <w:t xml:space="preserve">Safety Officer</w:t>
            </w:r>
          </w:p>
        </w:tc>
        <w:tc>
          <w:tcPr/>
          <w:p>
            <w:pPr>
              <w:pStyle w:val="Compact"/>
            </w:pPr>
          </w:p>
        </w:tc>
        <w:tc>
          <w:tcPr/>
          <w:p>
            <w:pPr>
              <w:pStyle w:val="Compact"/>
            </w:pPr>
          </w:p>
        </w:tc>
        <w:tc>
          <w:tcPr/>
          <w:p>
            <w:pPr>
              <w:pStyle w:val="Compact"/>
            </w:pPr>
          </w:p>
        </w:tc>
      </w:tr>
      <w:tr>
        <w:tc>
          <w:tcPr/>
          <w:p>
            <w:pPr>
              <w:pStyle w:val="Compact"/>
              <w:jc w:val="left"/>
            </w:pPr>
            <w:r>
              <w:t xml:space="preserve">Quality Assurance</w:t>
            </w:r>
          </w:p>
        </w:tc>
        <w:tc>
          <w:tcPr/>
          <w:p>
            <w:pPr>
              <w:pStyle w:val="Compact"/>
            </w:pPr>
          </w:p>
        </w:tc>
        <w:tc>
          <w:tcPr/>
          <w:p>
            <w:pPr>
              <w:pStyle w:val="Compact"/>
            </w:pPr>
          </w:p>
        </w:tc>
        <w:tc>
          <w:tcPr/>
          <w:p>
            <w:pPr>
              <w:pStyle w:val="Compact"/>
            </w:pPr>
          </w:p>
        </w:tc>
      </w:tr>
      <w:tr>
        <w:tc>
          <w:tcPr/>
          <w:p>
            <w:pPr>
              <w:pStyle w:val="Compact"/>
              <w:jc w:val="left"/>
            </w:pPr>
            <w:r>
              <w:t xml:space="preserve">Facility Manager</w:t>
            </w:r>
          </w:p>
        </w:tc>
        <w:tc>
          <w:tcPr/>
          <w:p>
            <w:pPr>
              <w:pStyle w:val="Compact"/>
            </w:pPr>
          </w:p>
        </w:tc>
        <w:tc>
          <w:tcPr/>
          <w:p>
            <w:pPr>
              <w:pStyle w:val="Compact"/>
            </w:pPr>
          </w:p>
        </w:tc>
        <w:tc>
          <w:tcPr/>
          <w:p>
            <w:pPr>
              <w:pStyle w:val="Compact"/>
            </w:pPr>
          </w:p>
        </w:tc>
      </w:tr>
    </w:tbl>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Ho Chi Minh City</dc:title>
  <dc:creator/>
  <dc:language>en</dc:language>
  <cp:keywords/>
  <dcterms:created xsi:type="dcterms:W3CDTF">2026-10-10T02:01:09Z</dcterms:created>
  <dcterms:modified xsi:type="dcterms:W3CDTF">2026-10-10T02:01:09Z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