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France</w:t>
      </w:r>
      <w:r>
        <w:t xml:space="preserve"> </w:t>
      </w:r>
      <w:r>
        <w:t xml:space="preserve">Lyon</w:t>
      </w:r>
    </w:p>
    <w:bookmarkStart w:id="27" w:name="internship-report"/>
    <w:p>
      <w:pPr>
        <w:pStyle w:val="Heading1"/>
      </w:pPr>
      <w:r>
        <w:t xml:space="preserve">Internship Report</w:t>
      </w:r>
    </w:p>
    <w:bookmarkStart w:id="20" w:name="i.-introduction-and-contextual-framework"/>
    <w:p>
      <w:pPr>
        <w:pStyle w:val="Heading2"/>
      </w:pPr>
      <w:r>
        <w:t xml:space="preserve">I. Introduction and Contextual Framework</w:t>
      </w:r>
    </w:p>
    <w:p>
      <w:pPr>
        <w:pStyle w:val="FirstParagraph"/>
      </w:pPr>
      <w:r>
        <w:t xml:space="preserve">The pursuit of legal excellence requires not only a robust theoretical foundation but also immersive practical experience within specific jurisdictional contexts. This</w:t>
      </w:r>
    </w:p>
    <w:p>
      <w:pPr>
        <w:pStyle w:val="BodyText"/>
      </w:pPr>
      <w:r>
        <w:t xml:space="preserve">**</w:t>
      </w:r>
      <w:r>
        <w:rPr>
          <w:iCs/>
          <w:i/>
        </w:rPr>
        <w:t xml:space="preserve">Internship Report</w:t>
      </w:r>
      <w:r>
        <w:t xml:space="preserve">** details my comprehensive training period undertaken to bridge the gap between academic jurisprudence and the dynamic realities of legal practice. The primary objective of this document is to reflect upon the professional development acquired during a significant tenure as a</w:t>
      </w:r>
      <w:r>
        <w:t xml:space="preserve"> </w:t>
      </w:r>
      <w:r>
        <w:rPr>
          <w:bCs/>
          <w:b/>
        </w:rPr>
        <w:t xml:space="preserve">Lawyer</w:t>
      </w:r>
      <w:r>
        <w:t xml:space="preserve">-in-training, situated within the vibrant legal ecosystem of</w:t>
      </w:r>
      <w:r>
        <w:t xml:space="preserve"> </w:t>
      </w:r>
      <w:r>
        <w:rPr>
          <w:bCs/>
          <w:b/>
        </w:rPr>
        <w:t xml:space="preserve">France Lyon</w:t>
      </w:r>
      <w:r>
        <w:t xml:space="preserve">.</w:t>
      </w:r>
    </w:p>
    <w:p>
      <w:pPr>
        <w:pStyle w:val="BodyText"/>
      </w:pPr>
      <w:r>
        <w:rPr>
          <w:iCs/>
          <w:i/>
        </w:rPr>
        <w:t xml:space="preserve">France Lyon</w:t>
      </w:r>
    </w:p>
    <w:p>
      <w:pPr>
        <w:pStyle w:val="BodyText"/>
      </w:pPr>
      <w:r>
        <w:t xml:space="preserve">serves as an ideal setting for this endeavor. Located in the heart of Auvergne-Rhône-Alpes, Lyon is not merely a geographic location but a historic hub of commerce, culture, and law in Western Europe. The city hosts one of the most prestigious Bar associations (*Barreau de Lyon*) in France, characterized by its rigorous standards and rich tradition. By focusing on this specific locale, the report highlights how regional legal nuances within the broader French civil law system influence daily practice. The unique position of</w:t>
      </w:r>
      <w:r>
        <w:t xml:space="preserve"> </w:t>
      </w:r>
      <w:r>
        <w:rPr>
          <w:bCs/>
          <w:b/>
        </w:rPr>
        <w:t xml:space="preserve">France Lyon</w:t>
      </w:r>
      <w:r>
        <w:t xml:space="preserve"> </w:t>
      </w:r>
      <w:r>
        <w:t xml:space="preserve">as a crossroads for international business and local heritage provides a distinctive backdrop for understanding the multifaceted role of a modern</w:t>
      </w:r>
      <w:r>
        <w:t xml:space="preserve"> </w:t>
      </w:r>
      <w:r>
        <w:rPr>
          <w:bCs/>
          <w:b/>
        </w:rPr>
        <w:t xml:space="preserve">Lawyer</w:t>
      </w:r>
      <w:r>
        <w:t xml:space="preserve">.</w:t>
      </w:r>
    </w:p>
    <w:bookmarkEnd w:id="20"/>
    <w:bookmarkStart w:id="21" w:name="X2f46ded6bad1a939c01206aebd973ae85f6ba17"/>
    <w:p>
      <w:pPr>
        <w:pStyle w:val="Heading2"/>
      </w:pPr>
      <w:r>
        <w:t xml:space="preserve">II. Objectives and Methodology of the Internship</w:t>
      </w:r>
    </w:p>
    <w:p>
      <w:pPr>
        <w:pStyle w:val="FirstParagraph"/>
      </w:pPr>
      <w:r>
        <w:t xml:space="preserve">The primary goal of this internship was to gain firsthand insight into the procedural mechanisms that govern civil, commercial, and criminal law within the French judicial system. Unlike common law systems where precedent plays a dominant role, the civil law framework prevalent in</w:t>
      </w:r>
      <w:r>
        <w:t xml:space="preserve"> </w:t>
      </w:r>
      <w:r>
        <w:rPr>
          <w:bCs/>
          <w:b/>
        </w:rPr>
        <w:t xml:space="preserve">France Lyon</w:t>
      </w:r>
      <w:r>
        <w:t xml:space="preserve"> </w:t>
      </w:r>
      <w:r>
        <w:t xml:space="preserve">relies heavily on codified statutes and administrative regulations. Therefore, understanding how these codes are interpreted by local judges was a critical learning outcome.</w:t>
      </w:r>
    </w:p>
    <w:p>
      <w:pPr>
        <w:pStyle w:val="BodyText"/>
      </w:pPr>
      <w:r>
        <w:t xml:space="preserve">The methodology involved shadowing experienced partners at a mid-sized boutique firm specializing in corporate litigation and intellectual property rights located in the Presqu'île district of Lyon. Key activities included:</w:t>
      </w:r>
    </w:p>
    <w:p>
      <w:pPr>
        <w:numPr>
          <w:ilvl w:val="0"/>
          <w:numId w:val="1001"/>
        </w:numPr>
        <w:pStyle w:val="Compact"/>
      </w:pPr>
      <w:r>
        <w:rPr>
          <w:bCs/>
          <w:b/>
        </w:rPr>
        <w:t xml:space="preserve">Drafting Legal Memoranda:</w:t>
      </w:r>
      <w:r>
        <w:t xml:space="preserve"> </w:t>
      </w:r>
      <w:r>
        <w:t xml:space="preserve">Preparing detailed analyses of case law relevant to local precedents established by the Court of Appeal of Lyon.</w:t>
      </w:r>
    </w:p>
    <w:p>
      <w:pPr>
        <w:numPr>
          <w:ilvl w:val="0"/>
          <w:numId w:val="1001"/>
        </w:numPr>
        <w:pStyle w:val="Compact"/>
      </w:pPr>
      <w:r>
        <w:rPr>
          <w:bCs/>
          <w:b/>
        </w:rPr>
        <w:t xml:space="preserve">Courtroom Observation:</w:t>
      </w:r>
      <w:r>
        <w:t xml:space="preserve"> </w:t>
      </w:r>
      <w:r>
        <w:t xml:space="preserve">Attending hearings at the Tribunal Judiciaire de Lyon to observe oral advocacy techniques and judicial questioning styles.</w:t>
      </w:r>
    </w:p>
    <w:p>
      <w:pPr>
        <w:numPr>
          <w:ilvl w:val="0"/>
          <w:numId w:val="1001"/>
        </w:numPr>
        <w:pStyle w:val="Compact"/>
      </w:pPr>
      <w:r>
        <w:rPr>
          <w:bCs/>
          <w:b/>
        </w:rPr>
        <w:t xml:space="preserve">Client Consultations:</w:t>
      </w:r>
      <w:r>
        <w:t xml:space="preserve"> </w:t>
      </w:r>
      <w:r>
        <w:t xml:space="preserve">Assisting senior associates in preliminary meetings with clients, focusing on active listening and needs assessment.</w:t>
      </w:r>
    </w:p>
    <w:p>
      <w:pPr>
        <w:numPr>
          <w:ilvl w:val="0"/>
          <w:numId w:val="1001"/>
        </w:numPr>
        <w:pStyle w:val="Compact"/>
      </w:pPr>
      <w:r>
        <w:rPr>
          <w:bCs/>
          <w:b/>
        </w:rPr>
        <w:t xml:space="preserve">Negotiation Strategies:</w:t>
      </w:r>
      <w:r>
        <w:t xml:space="preserve"> </w:t>
      </w:r>
      <w:r>
        <w:t xml:space="preserve">Participating in out-of-court settlement discussions, a vital skill for any aspiring</w:t>
      </w:r>
      <w:r>
        <w:t xml:space="preserve"> </w:t>
      </w:r>
      <w:r>
        <w:rPr>
          <w:bCs/>
          <w:b/>
        </w:rPr>
        <w:t xml:space="preserve">Lawyer</w:t>
      </w:r>
      <w:r>
        <w:t xml:space="preserve">.</w:t>
      </w:r>
    </w:p>
    <w:p>
      <w:pPr>
        <w:pStyle w:val="FirstParagraph"/>
      </w:pPr>
      <w:r>
        <w:t xml:space="preserve">This structured approach ensured that the internship was not merely observational but participatory, allowing for a deep engagement with the complexities of legal practice in</w:t>
      </w:r>
      <w:r>
        <w:t xml:space="preserve"> </w:t>
      </w:r>
      <w:r>
        <w:rPr>
          <w:bCs/>
          <w:b/>
        </w:rPr>
        <w:t xml:space="preserve">France Lyon</w:t>
      </w:r>
      <w:r>
        <w:t xml:space="preserve">.</w:t>
      </w:r>
    </w:p>
    <w:bookmarkEnd w:id="21"/>
    <w:bookmarkStart w:id="24" w:name="Xd88802dd536c5942311e8caddce006af11d3dbe"/>
    <w:p>
      <w:pPr>
        <w:pStyle w:val="Heading2"/>
      </w:pPr>
      <w:r>
        <w:t xml:space="preserve">III. Professional Experience and Case Studies</w:t>
      </w:r>
    </w:p>
    <w:bookmarkStart w:id="22" w:name="X1a39d4fcf782b2279cdefd022b733838194ebd0"/>
    <w:p>
      <w:pPr>
        <w:pStyle w:val="Heading3"/>
      </w:pPr>
      <w:r>
        <w:t xml:space="preserve">A. The Role of Procedure in Civil Litigation</w:t>
      </w:r>
    </w:p>
    <w:p>
      <w:pPr>
        <w:pStyle w:val="FirstParagraph"/>
      </w:pPr>
      <w:r>
        <w:t xml:space="preserve">In the context of civil law, procedural rigor is paramount. During my time as a future</w:t>
      </w:r>
    </w:p>
    <w:p>
      <w:pPr>
        <w:pStyle w:val="BodyText"/>
      </w:pPr>
      <w:r>
        <w:t xml:space="preserve">**</w:t>
      </w:r>
    </w:p>
    <w:p>
      <w:pPr>
        <w:pStyle w:val="BodyText"/>
      </w:pPr>
      <w:r>
        <w:t xml:space="preserve">**</w:t>
      </w:r>
      <w:r>
        <w:rPr>
          <w:iCs/>
          <w:i/>
        </w:rPr>
        <w:t xml:space="preserve">Lawyer</w:t>
      </w:r>
      <w:r>
        <w:t xml:space="preserve">** in</w:t>
      </w:r>
      <w:r>
        <w:t xml:space="preserve"> </w:t>
      </w:r>
      <w:r>
        <w:rPr>
          <w:bCs/>
          <w:b/>
        </w:rPr>
        <w:t xml:space="preserve">France Lyon</w:t>
      </w:r>
      <w:r>
        <w:t xml:space="preserve">, I observed that the *Code de Procédure Civile* dictates strict timelines and formatting for all submissions. A significant portion of my work involved reviewing contracts for compliance with local zoning laws and commercial regulations specific to the Rhône department.</w:t>
      </w:r>
    </w:p>
    <w:p>
      <w:pPr>
        <w:pStyle w:val="BodyText"/>
      </w:pPr>
      <w:r>
        <w:t xml:space="preserve">One notable case involved a dispute over intellectual property rights concerning a software startup based in Lyon’s tech hub, La Confluence. As part of the legal team, I assisted in gathering evidence to prove prior art usage. This experience underscored the importance of meticulous documentation and strategic thinking. It also highlighted how local lawyers must balance national statutory requirements with international IP treaties, a complexity increasingly relevant for firms operating in</w:t>
      </w:r>
      <w:r>
        <w:t xml:space="preserve"> </w:t>
      </w:r>
      <w:r>
        <w:rPr>
          <w:bCs/>
          <w:b/>
        </w:rPr>
        <w:t xml:space="preserve">France Lyon</w:t>
      </w:r>
      <w:r>
        <w:t xml:space="preserve">.</w:t>
      </w:r>
    </w:p>
    <w:bookmarkEnd w:id="22"/>
    <w:bookmarkStart w:id="23" w:name="X078b346c1c781c1058bf21ca19ea88c36368e6e"/>
    <w:p>
      <w:pPr>
        <w:pStyle w:val="Heading3"/>
      </w:pPr>
      <w:r>
        <w:t xml:space="preserve">B. Navigating the French Judicial Hierarchy</w:t>
      </w:r>
    </w:p>
    <w:p>
      <w:pPr>
        <w:pStyle w:val="FirstParagraph"/>
      </w:pPr>
      <w:r>
        <w:t xml:space="preserve">Understanding the hierarchy of courts in</w:t>
      </w:r>
    </w:p>
    <w:p>
      <w:pPr>
        <w:pStyle w:val="BodyText"/>
      </w:pPr>
      <w:r>
        <w:t xml:space="preserve">**</w:t>
      </w:r>
    </w:p>
    <w:p>
      <w:pPr>
        <w:pStyle w:val="BodyText"/>
      </w:pPr>
      <w:r>
        <w:t xml:space="preserve">**</w:t>
      </w:r>
    </w:p>
    <w:p>
      <w:pPr>
        <w:pStyle w:val="BodyText"/>
      </w:pPr>
      <w:r>
        <w:t xml:space="preserve">**France Lyon** is essential for any</w:t>
      </w:r>
      <w:r>
        <w:t xml:space="preserve"> </w:t>
      </w:r>
      <w:r>
        <w:rPr>
          <w:bCs/>
          <w:b/>
        </w:rPr>
        <w:t xml:space="preserve">Lawyer</w:t>
      </w:r>
      <w:r>
        <w:t xml:space="preserve">. I had the opportunity to attend proceedings at both the Tribunal de Commerce and the Tribunal Judiciaire. The distinction between these forums was stark. The commercial court dealt with business-to-business disputes, often requiring a quicker resolution process, while the judicial tribunal handled broader civil matters including family law and personal injury.</w:t>
      </w:r>
    </w:p>
    <w:p>
      <w:pPr>
        <w:pStyle w:val="BodyText"/>
      </w:pPr>
      <w:r>
        <w:t xml:space="preserve">I learned that effective advocacy in</w:t>
      </w:r>
      <w:r>
        <w:t xml:space="preserve"> </w:t>
      </w:r>
      <w:r>
        <w:rPr>
          <w:bCs/>
          <w:b/>
        </w:rPr>
        <w:t xml:space="preserve">France Lyon</w:t>
      </w:r>
      <w:r>
        <w:t xml:space="preserve"> </w:t>
      </w:r>
      <w:r>
        <w:t xml:space="preserve">requires not only legal knowledge but also an understanding of the specific procedural preferences of individual judges. Building professional relationships with court clerks (*greffiers*) and maintaining a reputation for professionalism are subtle yet powerful tools in the arsenal of a successful</w:t>
      </w:r>
    </w:p>
    <w:p>
      <w:pPr>
        <w:pStyle w:val="BodyText"/>
      </w:pPr>
      <w:r>
        <w:t xml:space="preserve">**</w:t>
      </w:r>
    </w:p>
    <w:p>
      <w:pPr>
        <w:pStyle w:val="BodyText"/>
      </w:pPr>
      <w:r>
        <w:t xml:space="preserve">**</w:t>
      </w:r>
      <w:r>
        <w:rPr>
          <w:iCs/>
          <w:i/>
        </w:rPr>
        <w:t xml:space="preserve">Lawyer</w:t>
      </w:r>
      <w:r>
        <w:t xml:space="preserve">**.</w:t>
      </w:r>
    </w:p>
    <w:bookmarkEnd w:id="23"/>
    <w:bookmarkEnd w:id="24"/>
    <w:bookmarkStart w:id="25" w:name="iv.-challenges-encountered"/>
    <w:p>
      <w:pPr>
        <w:pStyle w:val="Heading2"/>
      </w:pPr>
      <w:r>
        <w:t xml:space="preserve">IV. Challenges Encountered</w:t>
      </w:r>
    </w:p>
    <w:p>
      <w:pPr>
        <w:pStyle w:val="FirstParagraph"/>
      </w:pPr>
      <w:r>
        <w:t xml:space="preserve">The transition from academic theory to practical application was not without challenges. One significant hurdle was the language barrier in legal terminology, even for non-native speakers of French. The legal lexicon used in</w:t>
      </w:r>
    </w:p>
    <w:p>
      <w:pPr>
        <w:pStyle w:val="BodyText"/>
      </w:pPr>
      <w:r>
        <w:t xml:space="preserve">**</w:t>
      </w:r>
    </w:p>
    <w:p>
      <w:pPr>
        <w:pStyle w:val="BodyText"/>
      </w:pPr>
      <w:r>
        <w:t xml:space="preserve">**</w:t>
      </w:r>
    </w:p>
    <w:p>
      <w:pPr>
        <w:pStyle w:val="BodyText"/>
      </w:pPr>
      <w:r>
        <w:t xml:space="preserve">**France Lyon** often contains archaic terms and specific procedural phrases that are not always covered in textbooks. Additionally, the pace of litigation can be surprisingly fast, requiring rapid analysis and decision-making skills.</w:t>
      </w:r>
    </w:p>
    <w:p>
      <w:pPr>
        <w:pStyle w:val="BodyText"/>
      </w:pPr>
      <w:r>
        <w:t xml:space="preserve">Furthermore, adapting to the cultural nuances of client interaction proved difficult. In</w:t>
      </w:r>
      <w:r>
        <w:t xml:space="preserve"> </w:t>
      </w:r>
      <w:r>
        <w:rPr>
          <w:bCs/>
          <w:b/>
        </w:rPr>
        <w:t xml:space="preserve">France Lyon</w:t>
      </w:r>
      <w:r>
        <w:t xml:space="preserve">, clients often expect a high degree of formality and directness from their legal counsel. Learning to navigate these expectations while maintaining empathy required significant personal growth and mentorship from senior partners.</w:t>
      </w:r>
    </w:p>
    <w:bookmarkEnd w:id="25"/>
    <w:bookmarkStart w:id="26" w:name="v.-conclusion-and-future-implications"/>
    <w:p>
      <w:pPr>
        <w:pStyle w:val="Heading2"/>
      </w:pPr>
      <w:r>
        <w:t xml:space="preserve">V. Conclusion and Future Implications</w:t>
      </w:r>
    </w:p>
    <w:p>
      <w:pPr>
        <w:pStyle w:val="FirstParagraph"/>
      </w:pPr>
      <w:r>
        <w:t xml:space="preserve">In conclusion, this internship has been an invaluable chapter in my professional development as a</w:t>
      </w:r>
    </w:p>
    <w:p>
      <w:pPr>
        <w:pStyle w:val="BodyText"/>
      </w:pPr>
      <w:r>
        <w:t xml:space="preserve">**</w:t>
      </w:r>
    </w:p>
    <w:p>
      <w:pPr>
        <w:pStyle w:val="BodyText"/>
      </w:pPr>
      <w:r>
        <w:t xml:space="preserve">**</w:t>
      </w:r>
      <w:r>
        <w:rPr>
          <w:iCs/>
          <w:i/>
        </w:rPr>
        <w:t xml:space="preserve">**Lawyer</w:t>
      </w:r>
      <w:r>
        <w:t xml:space="preserve">**. It provided a realistic assessment of the demands placed on legal practitioners in</w:t>
      </w:r>
      <w:r>
        <w:t xml:space="preserve"> </w:t>
      </w:r>
      <w:r>
        <w:rPr>
          <w:bCs/>
          <w:b/>
        </w:rPr>
        <w:t xml:space="preserve">France Lyon</w:t>
      </w:r>
      <w:r>
        <w:t xml:space="preserve">. The experience confirmed that success in this field requires a triad of competencies: deep legal knowledge, procedural mastery, and cultural intelligence.</w:t>
      </w:r>
    </w:p>
    <w:p>
      <w:pPr>
        <w:pStyle w:val="BodyText"/>
      </w:pPr>
      <w:r>
        <w:t xml:space="preserve">The unique environment of</w:t>
      </w:r>
    </w:p>
    <w:p>
      <w:pPr>
        <w:pStyle w:val="BodyText"/>
      </w:pPr>
      <w:r>
        <w:t xml:space="preserve">**</w:t>
      </w:r>
    </w:p>
    <w:p>
      <w:pPr>
        <w:pStyle w:val="BodyText"/>
      </w:pPr>
      <w:r>
        <w:t xml:space="preserve">**</w:t>
      </w:r>
    </w:p>
    <w:p>
      <w:pPr>
        <w:pStyle w:val="BodyText"/>
      </w:pPr>
      <w:r>
        <w:t xml:space="preserve">**France Lyon** offered insights into how international law intersects with local practice. As I move forward in my career, the lessons learned regarding rigorous preparation, ethical conduct, and strategic advocacy will remain central to my practice. This report serves not only as a record of past activities but also as a testament to the enduring value of practical training in shaping competent and compassionate legal professionals.</w:t>
      </w:r>
    </w:p>
    <w:p>
      <w:pPr>
        <w:pStyle w:val="BodyText"/>
      </w:pPr>
      <w:r>
        <w:t xml:space="preserve">I extend my sincere gratitude to the faculty at Lyon Law School for their academic guidance and to the practitioners at [Firm Name Placeholder] in</w:t>
      </w:r>
      <w:r>
        <w:t xml:space="preserve"> </w:t>
      </w:r>
      <w:r>
        <w:rPr>
          <w:bCs/>
          <w:b/>
        </w:rPr>
        <w:t xml:space="preserve">France Lyon</w:t>
      </w:r>
      <w:r>
        <w:t xml:space="preserve"> </w:t>
      </w:r>
      <w:r>
        <w:t xml:space="preserve">for their mentorship. This internship has solidified my commitment to the legal profession and equipped me with the tools necessary to serve clients effectively in an increasingly complex legal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France Lyon</dc:title>
  <dc:creator/>
  <dc:language>en</dc:language>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