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section"/>
    <w:p>
      <w:pPr>
        <w:pStyle w:val="Heading2"/>
      </w:pPr>
    </w:p>
    <w:p>
      <w:pPr>
        <w:pStyle w:val="FirstParagraph"/>
      </w:pPr>
      <w:r>
        <w:rPr>
          <w:iCs/>
          <w:i/>
        </w:rPr>
        <w:t xml:space="preserve">A Comprehensive Analysis of Technical Operations and Maritime Logistics in a Landlocked Context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[Name Redacted]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 [Month], 2023, 2024</w:t>
      </w:r>
      <w:r>
        <w:t xml:space="preserve"> </w:t>
      </w:r>
      <w:r>
        <w:t xml:space="preserve">--&gt;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Marine Engineer in Colombia Medellín</dc:title>
  <dc:creator/>
  <dc:language>en</dc:language>
  <cp:keywords/>
  <dcterms:created xsi:type="dcterms:W3CDTF">2026-09-28T00:06:19Z</dcterms:created>
  <dcterms:modified xsi:type="dcterms:W3CDTF">2026-09-28T00:06:19Z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