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Midwifery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bookmarkStart w:id="20" w:name="X88b78b6be22b5cd9732b3354218c67be494dd88"/>
    <w:p>
      <w:pPr>
        <w:pStyle w:val="Heading1"/>
      </w:pPr>
      <w:r>
        <w:t xml:space="preserve">Internship Report:</w:t>
      </w:r>
      <w:r>
        <w:br/>
      </w:r>
      <w:r>
        <w:t xml:space="preserve">A Comprehensive Analysis of Midwifery Practice in Colombia Medellín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Health Sciences Faculty</w:t>
      </w:r>
      <w:r>
        <w:br/>
      </w:r>
    </w:p>
    <w:p>
      <w:pPr>
        <w:pStyle w:val="BodyText"/>
      </w:pPr>
      <w:r>
        <w:t xml:space="preserve">Location of Practice: Colombia Medellín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Midwifery in Colombia Medellín</dc:title>
  <dc:creator/>
  <dc:language>en</dc:language>
  <cp:keywords/>
  <dcterms:created xsi:type="dcterms:W3CDTF">2026-07-29T15:36:14Z</dcterms:created>
  <dcterms:modified xsi:type="dcterms:W3CDTF">2026-07-29T15:36:14Z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