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Academic Researcher Services</w:t>
      </w:r>
    </w:p>
    <w:p>
      <w:pPr>
        <w:pStyle w:val="BodyText"/>
      </w:pPr>
      <w:r>
        <w:rPr>
          <w:bCs/>
          <w:b/>
        </w:rPr>
        <w:t xml:space="preserve">Invoice Number:</w:t>
      </w:r>
      <w:r>
        <w:t xml:space="preserve"> </w:t>
      </w:r>
      <w:r>
        <w:t xml:space="preserve">INV-2025-MEL-0472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Australia Melbourne</w:t>
      </w:r>
    </w:p>
    <w:bookmarkStart w:id="20" w:name="issued-by-academic-researcher"/>
    <w:p>
      <w:pPr>
        <w:pStyle w:val="Heading3"/>
      </w:pPr>
      <w:r>
        <w:t xml:space="preserve">Issued By (Academic Researcher)</w:t>
      </w:r>
    </w:p>
    <w:p>
      <w:pPr>
        <w:pStyle w:val="FirstParagraph"/>
      </w:pPr>
      <w:r>
        <w:t xml:space="preserve">Dr. Eleanor M. Whitfield, PhD</w:t>
      </w:r>
    </w:p>
    <w:p>
      <w:pPr>
        <w:pStyle w:val="BodyText"/>
      </w:pPr>
      <w:r>
        <w:t xml:space="preserve">Senior Academic Researcher &amp; Independent Scholar</w:t>
      </w:r>
    </w:p>
    <w:p>
      <w:pPr>
        <w:pStyle w:val="BodyText"/>
      </w:pPr>
      <w:r>
        <w:t xml:space="preserve">Research Division, Faculty of Arts &amp; Social Sciences</w:t>
      </w:r>
    </w:p>
    <w:p>
      <w:pPr>
        <w:pStyle w:val="BodyText"/>
      </w:pPr>
      <w:r>
        <w:t xml:space="preserve">Level 4, 125 Swanston Street</w:t>
      </w:r>
    </w:p>
    <w:p>
      <w:pPr>
        <w:pStyle w:val="BodyText"/>
      </w:pPr>
      <w:r>
        <w:t xml:space="preserve">Carlton, Victoria 3053</w:t>
      </w:r>
    </w:p>
    <w:p>
      <w:pPr>
        <w:pStyle w:val="BodyText"/>
      </w:pPr>
      <w:r>
        <w:t xml:space="preserve">Australia Melbourne</w:t>
      </w:r>
    </w:p>
    <w:p>
      <w:pPr>
        <w:pStyle w:val="BodyText"/>
      </w:pPr>
      <w:r>
        <w:t xml:space="preserve">Email: e.whitfield@research.edu.au</w:t>
      </w:r>
    </w:p>
    <w:p>
      <w:pPr>
        <w:pStyle w:val="BodyText"/>
      </w:pPr>
      <w:r>
        <w:t xml:space="preserve">ABN: 48 217 639 054</w:t>
      </w:r>
    </w:p>
    <w:bookmarkEnd w:id="20"/>
    <w:bookmarkStart w:id="21" w:name="bill-to-client"/>
    <w:p>
      <w:pPr>
        <w:pStyle w:val="Heading3"/>
      </w:pPr>
      <w:r>
        <w:t xml:space="preserve">Bill To (Client)</w:t>
      </w:r>
    </w:p>
    <w:p>
      <w:pPr>
        <w:pStyle w:val="FirstParagraph"/>
      </w:pPr>
      <w:r>
        <w:t xml:space="preserve">Dr. James R. Okafor</w:t>
      </w:r>
    </w:p>
    <w:p>
      <w:pPr>
        <w:pStyle w:val="BodyText"/>
      </w:pPr>
      <w:r>
        <w:t xml:space="preserve">Director of Research Partnerships</w:t>
      </w:r>
    </w:p>
    <w:p>
      <w:pPr>
        <w:pStyle w:val="BodyText"/>
      </w:pPr>
      <w:r>
        <w:t xml:space="preserve">Melbourne Institute for Advanced Studies</w:t>
      </w:r>
    </w:p>
    <w:p>
      <w:pPr>
        <w:pStyle w:val="BodyText"/>
      </w:pPr>
      <w:r>
        <w:t xml:space="preserve">75 William Street</w:t>
      </w:r>
    </w:p>
    <w:p>
      <w:pPr>
        <w:pStyle w:val="BodyText"/>
      </w:pPr>
      <w:r>
        <w:t xml:space="preserve">Melbourne, Victoria 3000</w:t>
      </w:r>
    </w:p>
    <w:p>
      <w:pPr>
        <w:pStyle w:val="BodyText"/>
      </w:pPr>
      <w:r>
        <w:t xml:space="preserve">Australia Melbourne</w:t>
      </w:r>
    </w:p>
    <w:p>
      <w:pPr>
        <w:pStyle w:val="BodyText"/>
      </w:pPr>
      <w:r>
        <w:t xml:space="preserve">Email: j.okafor@miastudies.edu.au</w:t>
      </w:r>
    </w:p>
    <w:p>
      <w:pPr>
        <w:pStyle w:val="BodyText"/>
      </w:pPr>
      <w:r>
        <w:t xml:space="preserve">ACN: 084 552 117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Period / Duration</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Conducting a comprehensive literature review and systematic analysis of peer-reviewed publications related to urban sustainability policy in the Australia Melbourne metropolitan region. This Academic Researcher engagement includes identification, evaluation, and synthesis of no fewer than 120 scholarly sources.</w:t>
            </w:r>
          </w:p>
        </w:tc>
        <w:tc>
          <w:tcPr/>
          <w:p>
            <w:pPr>
              <w:pStyle w:val="Compact"/>
              <w:jc w:val="left"/>
            </w:pPr>
            <w:r>
              <w:t xml:space="preserve">January – March 2025</w:t>
            </w:r>
          </w:p>
        </w:tc>
        <w:tc>
          <w:tcPr/>
          <w:p>
            <w:pPr>
              <w:pStyle w:val="Compact"/>
              <w:jc w:val="left"/>
            </w:pPr>
            <w:r>
              <w:t xml:space="preserve">$185.00/hr</w:t>
            </w:r>
          </w:p>
        </w:tc>
        <w:tc>
          <w:tcPr/>
          <w:p>
            <w:pPr>
              <w:pStyle w:val="Compact"/>
              <w:jc w:val="left"/>
            </w:pPr>
            <w:r>
              <w:t xml:space="preserve">96 hrs</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Designing and administering a mixed-methods survey instrument targeting 450 residents across the Australia Melbourne metropolitan area. The Academic Researcher is responsible for questionnaire development, ethical clearance coordination with the Melbourne University Human Research Ethics Committee, data collection, and preliminary statistical analysis.</w:t>
            </w:r>
          </w:p>
        </w:tc>
        <w:tc>
          <w:tcPr/>
          <w:p>
            <w:pPr>
              <w:pStyle w:val="Compact"/>
              <w:jc w:val="left"/>
            </w:pPr>
            <w:r>
              <w:t xml:space="preserve">February – April 2025</w:t>
            </w:r>
          </w:p>
        </w:tc>
        <w:tc>
          <w:tcPr/>
          <w:p>
            <w:pPr>
              <w:pStyle w:val="Compact"/>
              <w:jc w:val="left"/>
            </w:pPr>
            <w:r>
              <w:t xml:space="preserve">$210.00/hr</w:t>
            </w:r>
          </w:p>
        </w:tc>
        <w:tc>
          <w:tcPr/>
          <w:p>
            <w:pPr>
              <w:pStyle w:val="Compact"/>
              <w:jc w:val="left"/>
            </w:pPr>
            <w:r>
              <w:t xml:space="preserve">120 hrs</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Authoring a 15,000-word research monograph chapter titled "Socio-Economic Impacts of Climate Adaptation Strategies in Australia Melbourne: A Longitudinal Perspective." This Academic Researcher deliverable includes three (3) full revision cycles incorporating client feedback and peer reviewer comments.</w:t>
            </w:r>
          </w:p>
        </w:tc>
        <w:tc>
          <w:tcPr/>
          <w:p>
            <w:pPr>
              <w:pStyle w:val="Compact"/>
              <w:jc w:val="left"/>
            </w:pPr>
            <w:r>
              <w:t xml:space="preserve">March – May 2025</w:t>
            </w:r>
          </w:p>
        </w:tc>
        <w:tc>
          <w:tcPr/>
          <w:p>
            <w:pPr>
              <w:pStyle w:val="Compact"/>
              <w:jc w:val="left"/>
            </w:pPr>
            <w:r>
              <w:t xml:space="preserve">$4,500.00</w:t>
            </w:r>
          </w:p>
        </w:tc>
        <w:tc>
          <w:tcPr/>
          <w:p>
            <w:pPr>
              <w:pStyle w:val="Compact"/>
              <w:jc w:val="left"/>
            </w:pPr>
            <w:r>
              <w:t xml:space="preserve">1 chapter</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Delivering a 90-minute keynote presentation at the Melbourne Research Symposium 2025, held at the Royal Exhibition Building, Australia Melbourne. The Academic Researcher prepared original slides, a speaker's script, and a 20-page supplementary handout for attendees. Travel and accommodation within Australia Melbourne are included.</w:t>
            </w:r>
          </w:p>
        </w:tc>
        <w:tc>
          <w:tcPr/>
          <w:p>
            <w:pPr>
              <w:pStyle w:val="Compact"/>
              <w:jc w:val="left"/>
            </w:pPr>
            <w:r>
              <w:t xml:space="preserve">May 2025</w:t>
            </w:r>
          </w:p>
        </w:tc>
        <w:tc>
          <w:tcPr/>
          <w:p>
            <w:pPr>
              <w:pStyle w:val="Compact"/>
              <w:jc w:val="left"/>
            </w:pPr>
            <w:r>
              <w:t xml:space="preserve">$3,200.00</w:t>
            </w:r>
          </w:p>
        </w:tc>
        <w:tc>
          <w:tcPr/>
          <w:p>
            <w:pPr>
              <w:pStyle w:val="Compact"/>
              <w:jc w:val="left"/>
            </w:pPr>
            <w:r>
              <w:t xml:space="preserve">1 event</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Providing ongoing academic consultation and advisory services to the client's research team. The Academic Researcher offered bi-weekly one-hour video consultations, email correspondence, and real-time data interpretation support throughout the project lifecycle in Australia Melbourne.</w:t>
            </w:r>
          </w:p>
        </w:tc>
        <w:tc>
          <w:tcPr/>
          <w:p>
            <w:pPr>
              <w:pStyle w:val="Compact"/>
              <w:jc w:val="left"/>
            </w:pPr>
            <w:r>
              <w:t xml:space="preserve">January – June 2025</w:t>
            </w:r>
          </w:p>
        </w:tc>
        <w:tc>
          <w:tcPr/>
          <w:p>
            <w:pPr>
              <w:pStyle w:val="Compact"/>
              <w:jc w:val="left"/>
            </w:pPr>
            <w:r>
              <w:t xml:space="preserve">$165.00/hr</w:t>
            </w:r>
          </w:p>
        </w:tc>
        <w:tc>
          <w:tcPr/>
          <w:p>
            <w:pPr>
              <w:pStyle w:val="Compact"/>
              <w:jc w:val="left"/>
            </w:pPr>
            <w:r>
              <w:t xml:space="preserve">24 hrs</w:t>
            </w:r>
          </w:p>
        </w:tc>
        <w:tc>
          <w:tcPr/>
          <w:p>
            <w:pPr>
              <w:pStyle w:val="Compact"/>
              <w:jc w:val="left"/>
            </w:pPr>
            <w:r>
              <w:t xml:space="preserve">$3,960.00</w:t>
            </w:r>
          </w:p>
        </w:tc>
      </w:tr>
      <w:tr>
        <w:tc>
          <w:tcPr/>
          <w:p>
            <w:pPr>
              <w:pStyle w:val="Compact"/>
              <w:jc w:val="left"/>
            </w:pPr>
            <w:r>
              <w:t xml:space="preserve">6</w:t>
            </w:r>
          </w:p>
        </w:tc>
        <w:tc>
          <w:tcPr/>
          <w:p>
            <w:pPr>
              <w:pStyle w:val="Compact"/>
              <w:jc w:val="left"/>
            </w:pPr>
            <w:r>
              <w:t xml:space="preserve">Reproducing and formatting all raw datasets, statistical outputs, and supplementary materials for inclusion in the final research report. The Academic Researcher ensured compliance with the Australian Government's Open Data principles and the client's institutional data management policy.</w:t>
            </w:r>
          </w:p>
        </w:tc>
        <w:tc>
          <w:tcPr/>
          <w:p>
            <w:pPr>
              <w:pStyle w:val="Compact"/>
              <w:jc w:val="left"/>
            </w:pPr>
            <w:r>
              <w:t xml:space="preserve">June 2025</w:t>
            </w:r>
          </w:p>
        </w:tc>
        <w:tc>
          <w:tcPr/>
          <w:p>
            <w:pPr>
              <w:pStyle w:val="Compact"/>
              <w:jc w:val="left"/>
            </w:pPr>
            <w:r>
              <w:t xml:space="preserve">$140.00/hr</w:t>
            </w:r>
          </w:p>
        </w:tc>
        <w:tc>
          <w:tcPr/>
          <w:p>
            <w:pPr>
              <w:pStyle w:val="Compact"/>
              <w:jc w:val="left"/>
            </w:pPr>
            <w:r>
              <w:t xml:space="preserve">18 hrs</w:t>
            </w:r>
          </w:p>
        </w:tc>
        <w:tc>
          <w:tcPr/>
          <w:p>
            <w:pPr>
              <w:pStyle w:val="Compact"/>
              <w:jc w:val="left"/>
            </w:pPr>
            <w:r>
              <w:t xml:space="preserve">$2,520.00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$57,140.00</w:t>
            </w:r>
          </w:p>
        </w:tc>
      </w:tr>
      <w:tr>
        <w:tc>
          <w:tcPr/>
          <w:p>
            <w:pPr>
              <w:pStyle w:val="Compact"/>
              <w:jc w:val="left"/>
            </w:pPr>
            <w:r>
              <w:t xml:space="preserve">GST (10%)</w:t>
            </w:r>
          </w:p>
        </w:tc>
        <w:tc>
          <w:tcPr/>
          <w:p>
            <w:pPr>
              <w:pStyle w:val="Compact"/>
              <w:jc w:val="left"/>
            </w:pPr>
            <w:r>
              <w:t xml:space="preserve">$5,714.00</w:t>
            </w:r>
          </w:p>
        </w:tc>
      </w:tr>
      <w:tr>
        <w:tc>
          <w:tcPr/>
          <w:p>
            <w:pPr>
              <w:pStyle w:val="Compact"/>
              <w:jc w:val="left"/>
            </w:pPr>
            <w:r>
              <w:t xml:space="preserve">Subtotal incl. GST</w:t>
            </w:r>
          </w:p>
        </w:tc>
        <w:tc>
          <w:tcPr/>
          <w:p>
            <w:pPr>
              <w:pStyle w:val="Compact"/>
              <w:jc w:val="left"/>
            </w:pPr>
            <w:r>
              <w:t xml:space="preserve">$62,854.00</w:t>
            </w:r>
          </w:p>
        </w:tc>
      </w:tr>
      <w:tr>
        <w:tc>
          <w:tcPr/>
          <w:p>
            <w:pPr>
              <w:pStyle w:val="Compact"/>
              <w:jc w:val="left"/>
            </w:pPr>
            <w:r>
              <w:t xml:space="preserve">Early Payment Discount (2% if paid within 14 days)</w:t>
            </w:r>
          </w:p>
        </w:tc>
        <w:tc>
          <w:tcPr/>
          <w:p>
            <w:pPr>
              <w:pStyle w:val="Compact"/>
              <w:jc w:val="left"/>
            </w:pPr>
            <w:r>
              <w:t xml:space="preserve">-$1,257.08</w:t>
            </w:r>
          </w:p>
        </w:tc>
      </w:tr>
      <w:tr>
        <w:tc>
          <w:tcPr/>
          <w:p>
            <w:pPr>
              <w:pStyle w:val="Compact"/>
              <w:jc w:val="left"/>
            </w:pPr>
            <w:r>
              <w:t xml:space="preserve">Grand Total Due (AUD)</w:t>
            </w:r>
          </w:p>
        </w:tc>
        <w:tc>
          <w:tcPr/>
          <w:p>
            <w:pPr>
              <w:pStyle w:val="Compact"/>
              <w:jc w:val="left"/>
            </w:pPr>
            <w:r>
              <w:t xml:space="preserve">$61,596.92</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Dr. Eleanor M. Whitfield – Academic Researcher Services</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INV-2025-MEL-0472</w:t>
      </w:r>
    </w:p>
    <w:p>
      <w:pPr>
        <w:pStyle w:val="BodyText"/>
      </w:pPr>
      <w:r>
        <w:t xml:space="preserve">Please ensure that the Invoice reference number is included with all payments to facilitate accurate reconciliation. Payments may be made via electronic funds transfer (EFT), BPAY, or direct debit arrangement. For international remittances, please contact the Academic Researcher's office in Australia Melbourne to obtain SWIFT and IBAN details.</w:t>
      </w:r>
    </w:p>
    <w:bookmarkEnd w:id="22"/>
    <w:bookmarkStart w:id="23" w:name="notes-terms-of-engagement"/>
    <w:p>
      <w:pPr>
        <w:pStyle w:val="Heading3"/>
      </w:pPr>
      <w:r>
        <w:t xml:space="preserve">Notes &amp; Terms of Engagement</w:t>
      </w:r>
    </w:p>
    <w:p>
      <w:pPr>
        <w:pStyle w:val="FirstParagraph"/>
      </w:pPr>
      <w:r>
        <w:t xml:space="preserve">This Invoice has been prepared by Dr. Eleanor M. Whitfield, an independent Academic Researcher operating from Australia Melbourne, in accordance with the Service Agreement dated 12 January 2025 (Reference: SA-2025-0031). All services described herein were performed in compliance with the Australian Research Council (ARC) guidelines and the relevant institutional ethics frameworks applicable in Australia Melbourne.</w:t>
      </w:r>
    </w:p>
    <w:p>
      <w:pPr>
        <w:pStyle w:val="BodyText"/>
      </w:pPr>
      <w:r>
        <w:t xml:space="preserve">The Academic Researcher warrants that all data collected, analyses conducted, and publications authored under this engagement are original works free from plagiarism and intellectual property infringement. All raw data and intermediate files remain the property of the client unless otherwise stipulated in the Service Agreement.</w:t>
      </w:r>
    </w:p>
    <w:p>
      <w:pPr>
        <w:pStyle w:val="BodyText"/>
      </w:pPr>
      <w:r>
        <w:t xml:space="preserve">Payment is due within thirty (30) calendar days of the Invoice date. Late payments will incur interest at the rate of 1.5% per month, in accordance with the Australian Consumer Law and the terms set forth in the governing agreement. This Invoice is subject to the jurisdiction of the courts of the State of Victoria, Australia Melbourne.</w:t>
      </w:r>
    </w:p>
    <w:p>
      <w:pPr>
        <w:pStyle w:val="BodyText"/>
      </w:pPr>
      <w:r>
        <w:t xml:space="preserve">Should the client require any clarification regarding the line items, methodology, or deliverables listed on this Invoice, please contact the Academic Researcher directly at the email address provided above. A copy of this Invoice will be retained in the Academic Researcher's financial records for a minimum period of seven (7) years as required by the Australian Taxation Office (ATO).</w:t>
      </w:r>
    </w:p>
    <w:bookmarkEnd w:id="23"/>
    <w:p>
      <w:pPr>
        <w:pStyle w:val="BodyText"/>
      </w:pPr>
      <w:r>
        <w:rPr>
          <w:bCs/>
          <w:b/>
        </w:rPr>
        <w:t xml:space="preserve">Invoice</w:t>
      </w:r>
      <w:r>
        <w:t xml:space="preserve"> </w:t>
      </w:r>
      <w:r>
        <w:t xml:space="preserve">INV-2025-MEL-0472  |  Issued by Dr. Eleanor M. Whitfield, Academic Researcher  |  Australia Melbourne, Victoria 3053</w:t>
      </w:r>
    </w:p>
    <w:p>
      <w:pPr>
        <w:pStyle w:val="BodyText"/>
      </w:pPr>
      <w:r>
        <w:t xml:space="preserve">This document constitutes a formal Invoice for Academic Researcher services rendered in Australia Melbourne. Please retain for your records. Thank you for your continued partnership in advancing scholarly research.</w:t>
      </w:r>
    </w:p>
    <w:p>
      <w:pPr>
        <w:pStyle w:val="BodyText"/>
      </w:pPr>
      <w:r>
        <w:t xml:space="preserve">© 2025 Dr. Eleanor M. Whitfield – Academic Researcher Services, Australia Melbourne.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Australia Melbourne</dc:title>
  <dc:creator/>
  <dc:language>en</dc:language>
  <cp:keywords/>
  <dcterms:created xsi:type="dcterms:W3CDTF">2026-10-10T04:34:24Z</dcterms:created>
  <dcterms:modified xsi:type="dcterms:W3CDTF">2026-10-10T04:34:24Z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