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dr.-eleanor-m.-whitfield"/>
    <w:p>
      <w:pPr>
        <w:pStyle w:val="Heading1"/>
      </w:pPr>
      <w:r>
        <w:t xml:space="preserve">Dr. Eleanor M. Whitfield</w:t>
      </w:r>
    </w:p>
    <w:p>
      <w:pPr>
        <w:pStyle w:val="FirstParagraph"/>
      </w:pPr>
      <w:r>
        <w:t xml:space="preserve">Independent Academic Researcher</w:t>
      </w:r>
    </w:p>
    <w:p>
      <w:pPr>
        <w:pStyle w:val="BodyText"/>
      </w:pPr>
      <w:r>
        <w:t xml:space="preserve">420 King Street West, Suite 1200</w:t>
      </w:r>
    </w:p>
    <w:p>
      <w:pPr>
        <w:pStyle w:val="BodyText"/>
      </w:pPr>
      <w:r>
        <w:t xml:space="preserve">Canada Toronto, Ontario M5V 1K2</w:t>
      </w:r>
    </w:p>
    <w:p>
      <w:pPr>
        <w:pStyle w:val="BodyText"/>
      </w:pPr>
      <w:r>
        <w:t xml:space="preserve">Phone: +1 (416) 555-0187</w:t>
      </w:r>
    </w:p>
    <w:p>
      <w:pPr>
        <w:pStyle w:val="BodyText"/>
      </w:pPr>
      <w:r>
        <w:t xml:space="preserve">Email: e.whitfield@torontoresearch.ca</w:t>
      </w:r>
    </w:p>
    <w:p>
      <w:pPr>
        <w:pStyle w:val="BodyText"/>
      </w:pPr>
      <w:r>
        <w:t xml:space="preserve">Business No.: 8842-1937-QC</w:t>
      </w:r>
    </w:p>
    <w:bookmarkEnd w:id="20"/>
    <w:bookmarkStart w:id="21" w:name="invoice"/>
    <w:p>
      <w:pPr>
        <w:pStyle w:val="Heading2"/>
      </w:pPr>
      <w:r>
        <w:t xml:space="preserve">INVOICE</w:t>
      </w:r>
    </w:p>
    <w:p>
      <w:pPr>
        <w:pStyle w:val="FirstParagraph"/>
      </w:pPr>
      <w:r>
        <w:t xml:space="preserve">Invoice No.: INV-2025-0472</w:t>
      </w:r>
    </w:p>
    <w:bookmarkEnd w:id="21"/>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(Net 30)</w:t>
      </w:r>
    </w:p>
    <w:p>
      <w:pPr>
        <w:pStyle w:val="BodyText"/>
      </w:pPr>
      <w:r>
        <w:rPr>
          <w:bCs/>
          <w:b/>
        </w:rPr>
        <w:t xml:space="preserve">Service Period</w:t>
      </w:r>
      <w:r>
        <w:t xml:space="preserve"> </w:t>
      </w:r>
      <w:r>
        <w:t xml:space="preserve">March 1 – June 14, 2025</w:t>
      </w:r>
    </w:p>
    <w:p>
      <w:pPr>
        <w:pStyle w:val="BodyText"/>
      </w:pPr>
      <w:r>
        <w:rPr>
          <w:bCs/>
          <w:b/>
        </w:rPr>
        <w:t xml:space="preserve">Currency</w:t>
      </w:r>
      <w:r>
        <w:t xml:space="preserve"> </w:t>
      </w:r>
      <w:r>
        <w:t xml:space="preserve">Canadian Dollars (CAD)</w:t>
      </w:r>
    </w:p>
    <w:bookmarkStart w:id="22" w:name="billed-to"/>
    <w:p>
      <w:pPr>
        <w:pStyle w:val="Heading3"/>
      </w:pPr>
      <w:r>
        <w:t xml:space="preserve">Billed To</w:t>
      </w:r>
    </w:p>
    <w:p>
      <w:pPr>
        <w:pStyle w:val="FirstParagraph"/>
      </w:pPr>
      <w:r>
        <w:rPr>
          <w:bCs/>
          <w:b/>
        </w:rPr>
        <w:t xml:space="preserve">University of Toronto – Faculty of Applied Science &amp; Engineering</w:t>
      </w:r>
    </w:p>
    <w:p>
      <w:pPr>
        <w:pStyle w:val="BodyText"/>
      </w:pPr>
      <w:r>
        <w:t xml:space="preserve">Attn: Dr. James R. Calloway, Department Chair</w:t>
      </w:r>
    </w:p>
    <w:p>
      <w:pPr>
        <w:pStyle w:val="BodyText"/>
      </w:pPr>
      <w:r>
        <w:t xml:space="preserve">1 King's College Circle</w:t>
      </w:r>
    </w:p>
    <w:p>
      <w:pPr>
        <w:pStyle w:val="BodyText"/>
      </w:pPr>
      <w:r>
        <w:t xml:space="preserve">Canada Toronto, Ontario M5S 1A4</w:t>
      </w:r>
    </w:p>
    <w:p>
      <w:pPr>
        <w:pStyle w:val="BodyText"/>
      </w:pPr>
      <w:r>
        <w:t xml:space="preserve">Accounts Payable Department</w:t>
      </w:r>
    </w:p>
    <w:p>
      <w:pPr>
        <w:pStyle w:val="BodyText"/>
      </w:pPr>
      <w:r>
        <w:t xml:space="preserve">PO Reference: PO-2025-88341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Literature review and systematic analysis of peer-reviewed publications related to sustainable urban infrastructure in the Greater Toronto Area. This engagement required the Academic Researcher to synthesize over 200 journal articles and produce a comprehensive 45-page analytical report.</w:t>
            </w:r>
          </w:p>
        </w:tc>
        <w:tc>
          <w:tcPr/>
          <w:p>
            <w:pPr>
              <w:pStyle w:val="Compact"/>
              <w:jc w:val="left"/>
            </w:pPr>
            <w:r>
              <w:t xml:space="preserve">Mar 1 – Mar 22, 2025</w:t>
            </w:r>
          </w:p>
        </w:tc>
        <w:tc>
          <w:tcPr/>
          <w:p>
            <w:pPr>
              <w:pStyle w:val="Compact"/>
              <w:jc w:val="left"/>
            </w:pPr>
            <w:r>
              <w:t xml:space="preserve">64 hrs</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2</w:t>
            </w:r>
          </w:p>
        </w:tc>
        <w:tc>
          <w:tcPr/>
          <w:p>
            <w:pPr>
              <w:pStyle w:val="Compact"/>
              <w:jc w:val="left"/>
            </w:pPr>
            <w:r>
              <w:t xml:space="preserve">Design and execution of quantitative survey methodology targeting 1,200 respondents across Canada Toronto municipalities. The Academic Researcher developed the instrument, coordinated fieldwork, and performed statistical analysis using SPSS and R programming environments.</w:t>
            </w:r>
          </w:p>
        </w:tc>
        <w:tc>
          <w:tcPr/>
          <w:p>
            <w:pPr>
              <w:pStyle w:val="Compact"/>
              <w:jc w:val="left"/>
            </w:pPr>
            <w:r>
              <w:t xml:space="preserve">Mar 24 – Apr 18, 2025</w:t>
            </w:r>
          </w:p>
        </w:tc>
        <w:tc>
          <w:tcPr/>
          <w:p>
            <w:pPr>
              <w:pStyle w:val="Compact"/>
              <w:jc w:val="left"/>
            </w:pPr>
            <w:r>
              <w:t xml:space="preserve">80 hrs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Qualitative interview sessions (n=35) with municipal planners, environmental engineers, and community stakeholders in Canada Toronto. Includes transcription, thematic coding, and narrative synthesis for the final research deliverable.</w:t>
            </w:r>
          </w:p>
        </w:tc>
        <w:tc>
          <w:tcPr/>
          <w:p>
            <w:pPr>
              <w:pStyle w:val="Compact"/>
              <w:jc w:val="left"/>
            </w:pPr>
            <w:r>
              <w:t xml:space="preserve">Apr 20 – May 10, 2025</w:t>
            </w:r>
          </w:p>
        </w:tc>
        <w:tc>
          <w:tcPr/>
          <w:p>
            <w:pPr>
              <w:pStyle w:val="Compact"/>
              <w:jc w:val="left"/>
            </w:pPr>
            <w:r>
              <w:t xml:space="preserve">56 hrs</w:t>
            </w:r>
          </w:p>
        </w:tc>
        <w:tc>
          <w:tcPr/>
          <w:p>
            <w:pPr>
              <w:pStyle w:val="Compact"/>
              <w:jc w:val="left"/>
            </w:pPr>
            <w:r>
              <w:t xml:space="preserve">$105.00</w:t>
            </w:r>
          </w:p>
        </w:tc>
        <w:tc>
          <w:tcPr/>
          <w:p>
            <w:pPr>
              <w:pStyle w:val="Compact"/>
              <w:jc w:val="left"/>
            </w:pPr>
            <w:r>
              <w:t xml:space="preserve">$5,880.00</w:t>
            </w:r>
          </w:p>
        </w:tc>
      </w:tr>
      <w:tr>
        <w:tc>
          <w:tcPr/>
          <w:p>
            <w:pPr>
              <w:pStyle w:val="Compact"/>
              <w:jc w:val="left"/>
            </w:pPr>
            <w:r>
              <w:t xml:space="preserve">4</w:t>
            </w:r>
          </w:p>
        </w:tc>
        <w:tc>
          <w:tcPr/>
          <w:p>
            <w:pPr>
              <w:pStyle w:val="Compact"/>
              <w:jc w:val="left"/>
            </w:pPr>
            <w:r>
              <w:t xml:space="preserve">Preparation of a 60-page final research report including executive summary, methodology, findings, policy recommendations, and appendices. The Academic Researcher ensured all data complied with the University of Toronto's research ethics board (REB) guidelines and applicable Canadian privacy legislation (PIPEDA).</w:t>
            </w:r>
          </w:p>
        </w:tc>
        <w:tc>
          <w:tcPr/>
          <w:p>
            <w:pPr>
              <w:pStyle w:val="Compact"/>
              <w:jc w:val="left"/>
            </w:pPr>
            <w:r>
              <w:t xml:space="preserve">May 12 – Jun 2, 2025</w:t>
            </w:r>
          </w:p>
        </w:tc>
        <w:tc>
          <w:tcPr/>
          <w:p>
            <w:pPr>
              <w:pStyle w:val="Compact"/>
              <w:jc w:val="left"/>
            </w:pPr>
            <w:r>
              <w:t xml:space="preserve">48 hrs</w:t>
            </w:r>
          </w:p>
        </w:tc>
        <w:tc>
          <w:tcPr/>
          <w:p>
            <w:pPr>
              <w:pStyle w:val="Compact"/>
              <w:jc w:val="left"/>
            </w:pPr>
            <w:r>
              <w:t xml:space="preserve">$110.00</w:t>
            </w:r>
          </w:p>
        </w:tc>
        <w:tc>
          <w:tcPr/>
          <w:p>
            <w:pPr>
              <w:pStyle w:val="Compact"/>
              <w:jc w:val="left"/>
            </w:pPr>
            <w:r>
              <w:t xml:space="preserve">$5,280.00</w:t>
            </w:r>
          </w:p>
        </w:tc>
      </w:tr>
      <w:tr>
        <w:tc>
          <w:tcPr/>
          <w:p>
            <w:pPr>
              <w:pStyle w:val="Compact"/>
              <w:jc w:val="left"/>
            </w:pPr>
            <w:r>
              <w:t xml:space="preserve">5</w:t>
            </w:r>
          </w:p>
        </w:tc>
        <w:tc>
          <w:tcPr/>
          <w:p>
            <w:pPr>
              <w:pStyle w:val="Compact"/>
              <w:jc w:val="left"/>
            </w:pPr>
            <w:r>
              <w:t xml:space="preserve">Peer review consultation and revision of the final manuscript. The Academic Researcher incorporated feedback from three external reviewers and made substantive revisions to strengthen the analytical framework and policy implications sections.</w:t>
            </w:r>
          </w:p>
        </w:tc>
        <w:tc>
          <w:tcPr/>
          <w:p>
            <w:pPr>
              <w:pStyle w:val="Compact"/>
              <w:jc w:val="left"/>
            </w:pPr>
            <w:r>
              <w:t xml:space="preserve">Jun 3 – Jun 14, 2025</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6</w:t>
            </w:r>
          </w:p>
        </w:tc>
        <w:tc>
          <w:tcPr/>
          <w:p>
            <w:pPr>
              <w:pStyle w:val="Compact"/>
              <w:jc w:val="left"/>
            </w:pPr>
            <w:r>
              <w:t xml:space="preserve">Reimbursement of approved research expenses: archival access fees at the Toronto Public Library, data licensing for municipal open datasets, and printing of survey materials. All receipts attached as Appendix A to this Invoice.</w:t>
            </w:r>
          </w:p>
        </w:tc>
        <w:tc>
          <w:tcPr/>
          <w:p>
            <w:pPr>
              <w:pStyle w:val="Compact"/>
              <w:jc w:val="left"/>
            </w:pPr>
            <w:r>
              <w:t xml:space="preserve">Mar – Jun 2025</w:t>
            </w:r>
          </w:p>
        </w:tc>
        <w:tc>
          <w:tcPr/>
          <w:p>
            <w:pPr>
              <w:pStyle w:val="Compact"/>
              <w:jc w:val="left"/>
            </w:pPr>
            <w:r>
              <w:t xml:space="preserve">Flat</w:t>
            </w:r>
          </w:p>
        </w:tc>
        <w:tc>
          <w:tcPr/>
          <w:p>
            <w:pPr>
              <w:pStyle w:val="Compact"/>
              <w:jc w:val="left"/>
            </w:pPr>
            <w:r>
              <w:t xml:space="preserve">—</w:t>
            </w:r>
          </w:p>
        </w:tc>
        <w:tc>
          <w:tcPr/>
          <w:p>
            <w:pPr>
              <w:pStyle w:val="Compact"/>
              <w:jc w:val="left"/>
            </w:pPr>
            <w:r>
              <w:t xml:space="preserve">$1,347.50</w:t>
            </w:r>
          </w:p>
        </w:tc>
      </w:tr>
    </w:tbl>
    <w:p>
      <w:pPr>
        <w:pStyle w:val="BodyText"/>
      </w:pPr>
      <w:r>
        <w:t xml:space="preserve">Subtotal</w:t>
      </w:r>
      <w:r>
        <w:t xml:space="preserve"> </w:t>
      </w:r>
      <w:r>
        <w:t xml:space="preserve">$28,827.50</w:t>
      </w:r>
    </w:p>
    <w:p>
      <w:pPr>
        <w:pStyle w:val="BodyText"/>
      </w:pPr>
      <w:r>
        <w:t xml:space="preserve">HST (13% – Ontario, Canada)</w:t>
      </w:r>
      <w:r>
        <w:t xml:space="preserve"> </w:t>
      </w:r>
      <w:r>
        <w:t xml:space="preserve">$3,747.58</w:t>
      </w:r>
    </w:p>
    <w:p>
      <w:pPr>
        <w:pStyle w:val="BodyText"/>
      </w:pPr>
      <w:r>
        <w:t xml:space="preserve">Discount (Early Payment – 2%)</w:t>
      </w:r>
      <w:r>
        <w:t xml:space="preserve"> </w:t>
      </w:r>
      <w:r>
        <w:t xml:space="preserve">–$576.55</w:t>
      </w:r>
    </w:p>
    <w:p>
      <w:pPr>
        <w:pStyle w:val="BodyText"/>
      </w:pPr>
      <w:r>
        <w:t xml:space="preserve">TOTAL DUE (CAD)</w:t>
      </w:r>
      <w:r>
        <w:t xml:space="preserve"> </w:t>
      </w:r>
      <w:r>
        <w:t xml:space="preserve">$31,998.53</w:t>
      </w:r>
    </w:p>
    <w:bookmarkStart w:id="23" w:name="payment-instructions"/>
    <w:p>
      <w:pPr>
        <w:pStyle w:val="Heading3"/>
      </w:pPr>
      <w:r>
        <w:t xml:space="preserve">Payment Instructions</w:t>
      </w:r>
    </w:p>
    <w:p>
      <w:pPr>
        <w:pStyle w:val="FirstParagraph"/>
      </w:pPr>
      <w:r>
        <w:rPr>
          <w:bCs/>
          <w:b/>
        </w:rPr>
        <w:t xml:space="preserve">Bank Transfer (EFT):</w:t>
      </w:r>
      <w:r>
        <w:t xml:space="preserve"> </w:t>
      </w:r>
      <w:r>
        <w:t xml:space="preserve">Institution: Royal Bank of Canada | Transit: 00123 | Account: 445678901 | Branch: Toronto Downtown</w:t>
      </w:r>
    </w:p>
    <w:p>
      <w:pPr>
        <w:pStyle w:val="BodyText"/>
      </w:pPr>
      <w:r>
        <w:rPr>
          <w:bCs/>
          <w:b/>
        </w:rPr>
        <w:t xml:space="preserve">Reference:</w:t>
      </w:r>
      <w:r>
        <w:t xml:space="preserve"> </w:t>
      </w:r>
      <w:r>
        <w:t xml:space="preserve">Please cite Invoice No. INV-2025-0472 and PO Reference PO-2025-88341 on all remittances.</w:t>
      </w:r>
    </w:p>
    <w:p>
      <w:pPr>
        <w:pStyle w:val="BodyText"/>
      </w:pPr>
      <w:r>
        <w:rPr>
          <w:bCs/>
          <w:b/>
        </w:rPr>
        <w:t xml:space="preserve">Remit To:</w:t>
      </w:r>
      <w:r>
        <w:t xml:space="preserve"> </w:t>
      </w:r>
      <w:r>
        <w:t xml:space="preserve">Dr. Eleanor M. Whitfield, 420 King Street West, Suite 1200, Canada Toronto, ON M5V 1K2</w:t>
      </w:r>
    </w:p>
    <w:bookmarkEnd w:id="23"/>
    <w:bookmarkStart w:id="24" w:name="notes-terms"/>
    <w:p>
      <w:pPr>
        <w:pStyle w:val="Heading3"/>
      </w:pPr>
      <w:r>
        <w:t xml:space="preserve">Notes &amp; Terms</w:t>
      </w:r>
    </w:p>
    <w:p>
      <w:pPr>
        <w:pStyle w:val="FirstParagraph"/>
      </w:pPr>
      <w:r>
        <w:t xml:space="preserve">1. This Invoice is issued in accordance with the Service Agreement dated February 10, 2025, between Dr. Eleanor M. Whitfield (Academic Researcher) and the University of Toronto, Faculty of Applied Science &amp; Engineering.</w:t>
      </w:r>
    </w:p>
    <w:p>
      <w:pPr>
        <w:pStyle w:val="BodyText"/>
      </w:pPr>
      <w:r>
        <w:t xml:space="preserve">2. Payment is due within thirty (30) calendar days of the Invoice date. A late payment surcharge of 1.5% per month will apply to outstanding balances after the due date, in compliance with the Ontario Business Corporations Act.</w:t>
      </w:r>
    </w:p>
    <w:p>
      <w:pPr>
        <w:pStyle w:val="BodyText"/>
      </w:pPr>
      <w:r>
        <w:t xml:space="preserve">3. All research data, raw interview recordings, and intermediate analytical files remain the intellectual property of the Academic Researcher unless otherwise stipulated in the master agreement. The final report and all derived publications are co-owned as per Section 7 of the contract.</w:t>
      </w:r>
    </w:p>
    <w:p>
      <w:pPr>
        <w:pStyle w:val="BodyText"/>
      </w:pPr>
      <w:r>
        <w:t xml:space="preserve">4. This Invoice is subject to the Harmonized Sales Tax (HST) at the applicable Ontario rate of 13%. The Academic Researcher is registered under the Canada Revenue Agency (CRA) for GST/HST purposes.</w:t>
      </w:r>
    </w:p>
    <w:p>
      <w:pPr>
        <w:pStyle w:val="BodyText"/>
      </w:pPr>
      <w:r>
        <w:t xml:space="preserve">5. Please direct any disputes or queries regarding this Invoice to the undersigned within fifteen (15) business days. Unresolved disputes may be referred to the Ontario Arbitration Act for mediation.</w:t>
      </w:r>
    </w:p>
    <w:p>
      <w:pPr>
        <w:pStyle w:val="BodyText"/>
      </w:pPr>
      <w:r>
        <w:t xml:space="preserve">6. This document constitutes a valid tax invoice as defined under the Excise Tax Act (Canada) and may be used for input tax credit (ITC) claims by the recipient institution.</w:t>
      </w:r>
    </w:p>
    <w:bookmarkEnd w:id="24"/>
    <w:p>
      <w:pPr>
        <w:pStyle w:val="BodyText"/>
      </w:pPr>
      <w:r>
        <w:rPr>
          <w:bCs/>
          <w:b/>
        </w:rPr>
        <w:t xml:space="preserve">Dr. Eleanor M. Whitfield</w:t>
      </w:r>
      <w:r>
        <w:t xml:space="preserve"> </w:t>
      </w:r>
      <w:r>
        <w:t xml:space="preserve">– Academic Researcher | Canada Toronto, Ontario</w:t>
      </w:r>
    </w:p>
    <w:p>
      <w:pPr>
        <w:pStyle w:val="BodyText"/>
      </w:pPr>
      <w:r>
        <w:t xml:space="preserve">Registered Business No.: 8842-1937-QC | GST/HST No.: 123456789RT0001</w:t>
      </w:r>
    </w:p>
    <w:p>
      <w:pPr>
        <w:pStyle w:val="BodyText"/>
      </w:pPr>
      <w:r>
        <w:t xml:space="preserve">This Invoice was generated electronically and is valid without a physical signature.</w:t>
      </w:r>
    </w:p>
    <w:p>
      <w:pPr>
        <w:pStyle w:val="BodyText"/>
      </w:pPr>
      <w:r>
        <w:t xml:space="preserve">Thank you for your prompt attention to this Invoice. We appreciate the opportunity to contribute to academic excellence in Canada Toronto.</w:t>
      </w:r>
    </w:p>
    <w:p>
      <w:pPr>
        <w:pStyle w:val="BodyText"/>
      </w:pPr>
      <w:r>
        <w:t xml:space="preserve">© 2025 Dr. Eleanor M. Whitfield. All rights reserved. This Invoice is the property of the issuing Academic Researcher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Canada Toronto</dc:title>
  <dc:creator/>
  <dc:language>en</dc:language>
  <cp:keywords/>
  <dcterms:created xsi:type="dcterms:W3CDTF">2026-10-10T06:16:52Z</dcterms:created>
  <dcterms:modified xsi:type="dcterms:W3CDTF">2026-10-10T06:16:52Z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